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398" w:rsidRPr="00535A8D" w:rsidRDefault="00310398" w:rsidP="00310398">
      <w:pPr>
        <w:pStyle w:val="NoSpacing"/>
        <w:spacing w:line="276" w:lineRule="auto"/>
        <w:rPr>
          <w:b/>
          <w:sz w:val="36"/>
          <w:szCs w:val="36"/>
        </w:rPr>
      </w:pPr>
      <w:r w:rsidRPr="00535A8D">
        <w:rPr>
          <w:b/>
          <w:sz w:val="36"/>
          <w:szCs w:val="36"/>
        </w:rPr>
        <w:t>Concept Cluster Conference for Teaching SNC2P Chemistry</w:t>
      </w:r>
    </w:p>
    <w:p w:rsidR="00310398" w:rsidRPr="00535A8D" w:rsidRDefault="00310398" w:rsidP="00310398">
      <w:pPr>
        <w:pStyle w:val="NoSpacing"/>
        <w:pBdr>
          <w:bottom w:val="single" w:sz="6" w:space="1" w:color="auto"/>
        </w:pBdr>
        <w:spacing w:line="276" w:lineRule="auto"/>
        <w:rPr>
          <w:sz w:val="26"/>
          <w:szCs w:val="26"/>
        </w:rPr>
      </w:pPr>
      <w:r w:rsidRPr="00535A8D">
        <w:rPr>
          <w:sz w:val="26"/>
          <w:szCs w:val="26"/>
        </w:rPr>
        <w:t>Chemistry: Chemical Reactions and Their Practical Applications</w:t>
      </w:r>
      <w:r>
        <w:rPr>
          <w:sz w:val="26"/>
          <w:szCs w:val="26"/>
        </w:rPr>
        <w:br/>
      </w:r>
      <w:r w:rsidRPr="00535A8D">
        <w:rPr>
          <w:sz w:val="30"/>
          <w:szCs w:val="30"/>
        </w:rPr>
        <w:t xml:space="preserve">Designed by </w:t>
      </w:r>
      <w:proofErr w:type="spellStart"/>
      <w:r w:rsidRPr="00535A8D">
        <w:rPr>
          <w:sz w:val="30"/>
          <w:szCs w:val="30"/>
        </w:rPr>
        <w:t>Alessia</w:t>
      </w:r>
      <w:proofErr w:type="spellEnd"/>
      <w:r w:rsidRPr="00535A8D">
        <w:rPr>
          <w:sz w:val="30"/>
          <w:szCs w:val="30"/>
        </w:rPr>
        <w:t xml:space="preserve"> </w:t>
      </w:r>
      <w:proofErr w:type="spellStart"/>
      <w:r w:rsidRPr="00535A8D">
        <w:rPr>
          <w:sz w:val="30"/>
          <w:szCs w:val="30"/>
        </w:rPr>
        <w:t>Marchetti</w:t>
      </w:r>
      <w:proofErr w:type="spellEnd"/>
      <w:r w:rsidRPr="00535A8D">
        <w:rPr>
          <w:sz w:val="30"/>
          <w:szCs w:val="30"/>
        </w:rPr>
        <w:t xml:space="preserve">, Amy Zhou, Karen Ho, </w:t>
      </w:r>
      <w:proofErr w:type="spellStart"/>
      <w:r w:rsidRPr="00535A8D">
        <w:rPr>
          <w:sz w:val="30"/>
          <w:szCs w:val="30"/>
        </w:rPr>
        <w:t>Puneet</w:t>
      </w:r>
      <w:proofErr w:type="spellEnd"/>
      <w:r w:rsidRPr="00535A8D">
        <w:rPr>
          <w:sz w:val="30"/>
          <w:szCs w:val="30"/>
        </w:rPr>
        <w:t xml:space="preserve"> </w:t>
      </w:r>
      <w:proofErr w:type="spellStart"/>
      <w:r w:rsidRPr="00535A8D">
        <w:rPr>
          <w:sz w:val="30"/>
          <w:szCs w:val="30"/>
        </w:rPr>
        <w:t>Kaur</w:t>
      </w:r>
      <w:proofErr w:type="spellEnd"/>
      <w:r>
        <w:rPr>
          <w:sz w:val="26"/>
          <w:szCs w:val="26"/>
        </w:rPr>
        <w:br/>
      </w:r>
    </w:p>
    <w:p w:rsidR="00310398" w:rsidRDefault="00310398" w:rsidP="00310398"/>
    <w:p w:rsidR="00310398" w:rsidRPr="00B17DAE" w:rsidRDefault="00310398" w:rsidP="00310398">
      <w:pPr>
        <w:rPr>
          <w:b/>
          <w:sz w:val="26"/>
          <w:szCs w:val="26"/>
        </w:rPr>
      </w:pPr>
      <w:r w:rsidRPr="00B17DAE">
        <w:rPr>
          <w:b/>
          <w:sz w:val="26"/>
          <w:szCs w:val="26"/>
        </w:rPr>
        <w:t>RESPONSIBILITIES:</w:t>
      </w:r>
    </w:p>
    <w:p w:rsidR="00310398" w:rsidRPr="00B17DAE" w:rsidRDefault="00310398" w:rsidP="00310398">
      <w:r>
        <w:rPr>
          <w:b/>
        </w:rPr>
        <w:t>Review Sheet</w:t>
      </w:r>
      <w:r>
        <w:t xml:space="preserve"> </w:t>
      </w:r>
      <w:r w:rsidRPr="009554AF">
        <w:rPr>
          <w:i/>
        </w:rPr>
        <w:t>–</w:t>
      </w:r>
      <w:r>
        <w:rPr>
          <w:i/>
        </w:rPr>
        <w:t xml:space="preserve"> </w:t>
      </w:r>
      <w:r>
        <w:t xml:space="preserve">Created by </w:t>
      </w:r>
      <w:proofErr w:type="spellStart"/>
      <w:r>
        <w:t>Alessia</w:t>
      </w:r>
      <w:proofErr w:type="spellEnd"/>
      <w:r>
        <w:t xml:space="preserve"> and designed by Amy</w:t>
      </w:r>
    </w:p>
    <w:p w:rsidR="00310398" w:rsidRDefault="00310398" w:rsidP="00310398">
      <w:pPr>
        <w:rPr>
          <w:b/>
        </w:rPr>
      </w:pPr>
      <w:r>
        <w:rPr>
          <w:b/>
        </w:rPr>
        <w:t xml:space="preserve">Quiz </w:t>
      </w:r>
      <w:r w:rsidRPr="009554AF">
        <w:rPr>
          <w:i/>
        </w:rPr>
        <w:t>–</w:t>
      </w:r>
      <w:r>
        <w:t xml:space="preserve"> Created and marked by Karen</w:t>
      </w:r>
    </w:p>
    <w:p w:rsidR="00310398" w:rsidRPr="00B17DAE" w:rsidRDefault="00310398" w:rsidP="00D946E8">
      <w:pPr>
        <w:tabs>
          <w:tab w:val="right" w:pos="9360"/>
        </w:tabs>
      </w:pPr>
      <w:r w:rsidRPr="00B17DAE">
        <w:rPr>
          <w:b/>
        </w:rPr>
        <w:t>Concept Cluster/Map</w:t>
      </w:r>
      <w:r>
        <w:t xml:space="preserve"> </w:t>
      </w:r>
      <w:r w:rsidRPr="009554AF">
        <w:rPr>
          <w:i/>
        </w:rPr>
        <w:t>–</w:t>
      </w:r>
      <w:r>
        <w:rPr>
          <w:i/>
        </w:rPr>
        <w:t xml:space="preserve"> </w:t>
      </w:r>
      <w:r>
        <w:t>Created and designed by Amy</w:t>
      </w:r>
      <w:r w:rsidR="00D946E8">
        <w:tab/>
        <w:t xml:space="preserve">Pg. </w:t>
      </w:r>
    </w:p>
    <w:p w:rsidR="00310398" w:rsidRDefault="00310398" w:rsidP="00D946E8">
      <w:pPr>
        <w:tabs>
          <w:tab w:val="right" w:pos="9360"/>
        </w:tabs>
      </w:pPr>
      <w:proofErr w:type="gramStart"/>
      <w:r w:rsidRPr="00B17DAE">
        <w:rPr>
          <w:b/>
        </w:rPr>
        <w:t>Misconceptions</w:t>
      </w:r>
      <w:r>
        <w:t xml:space="preserve"> </w:t>
      </w:r>
      <w:r w:rsidRPr="009554AF">
        <w:rPr>
          <w:i/>
        </w:rPr>
        <w:t>–</w:t>
      </w:r>
      <w:r>
        <w:rPr>
          <w:i/>
        </w:rPr>
        <w:t xml:space="preserve"> </w:t>
      </w:r>
      <w:r>
        <w:t xml:space="preserve">Compiled by </w:t>
      </w:r>
      <w:proofErr w:type="spellStart"/>
      <w:r>
        <w:t>Alessia</w:t>
      </w:r>
      <w:proofErr w:type="spellEnd"/>
      <w:r w:rsidR="00D946E8">
        <w:tab/>
        <w:t>Pg.</w:t>
      </w:r>
      <w:proofErr w:type="gramEnd"/>
      <w:r w:rsidR="00D946E8">
        <w:t xml:space="preserve"> </w:t>
      </w:r>
    </w:p>
    <w:p w:rsidR="00310398" w:rsidRDefault="00310398" w:rsidP="00D946E8">
      <w:pPr>
        <w:tabs>
          <w:tab w:val="right" w:pos="9360"/>
        </w:tabs>
      </w:pPr>
      <w:proofErr w:type="gramStart"/>
      <w:r w:rsidRPr="00B17DAE">
        <w:rPr>
          <w:b/>
        </w:rPr>
        <w:t>Effective Instructional Strategies</w:t>
      </w:r>
      <w:r>
        <w:t xml:space="preserve"> </w:t>
      </w:r>
      <w:r w:rsidRPr="009554AF">
        <w:rPr>
          <w:i/>
        </w:rPr>
        <w:t>–</w:t>
      </w:r>
      <w:r>
        <w:rPr>
          <w:i/>
        </w:rPr>
        <w:t xml:space="preserve"> </w:t>
      </w:r>
      <w:r>
        <w:t>Compiled by Karen</w:t>
      </w:r>
      <w:r w:rsidR="00D946E8">
        <w:tab/>
        <w:t>Pg.</w:t>
      </w:r>
      <w:proofErr w:type="gramEnd"/>
      <w:r w:rsidR="00D946E8">
        <w:t xml:space="preserve"> </w:t>
      </w:r>
    </w:p>
    <w:p w:rsidR="00310398" w:rsidRDefault="00310398" w:rsidP="00D946E8">
      <w:pPr>
        <w:tabs>
          <w:tab w:val="right" w:pos="9360"/>
        </w:tabs>
      </w:pPr>
      <w:proofErr w:type="gramStart"/>
      <w:r w:rsidRPr="00B17DAE">
        <w:rPr>
          <w:b/>
        </w:rPr>
        <w:t>Demonstration</w:t>
      </w:r>
      <w:r>
        <w:t xml:space="preserve"> </w:t>
      </w:r>
      <w:r w:rsidRPr="009554AF">
        <w:rPr>
          <w:i/>
        </w:rPr>
        <w:t>–</w:t>
      </w:r>
      <w:r>
        <w:rPr>
          <w:i/>
        </w:rPr>
        <w:t xml:space="preserve"> </w:t>
      </w:r>
      <w:proofErr w:type="spellStart"/>
      <w:r>
        <w:t>Puneet</w:t>
      </w:r>
      <w:proofErr w:type="spellEnd"/>
      <w:r w:rsidR="00D946E8">
        <w:tab/>
        <w:t>Pg.</w:t>
      </w:r>
      <w:proofErr w:type="gramEnd"/>
      <w:r w:rsidR="00D946E8">
        <w:t xml:space="preserve"> </w:t>
      </w:r>
    </w:p>
    <w:p w:rsidR="00310398" w:rsidRPr="00D946E8" w:rsidRDefault="00310398" w:rsidP="00310398">
      <w:pPr>
        <w:rPr>
          <w:b/>
          <w:i/>
        </w:rPr>
      </w:pPr>
      <w:r w:rsidRPr="00D946E8">
        <w:rPr>
          <w:b/>
        </w:rPr>
        <w:t>Activities</w:t>
      </w:r>
      <w:r w:rsidR="00D946E8">
        <w:rPr>
          <w:b/>
        </w:rPr>
        <w:t>:</w:t>
      </w:r>
      <w:r w:rsidRPr="00D946E8">
        <w:rPr>
          <w:b/>
        </w:rPr>
        <w:t xml:space="preserve"> </w:t>
      </w:r>
    </w:p>
    <w:p w:rsidR="00310398" w:rsidRDefault="00260792" w:rsidP="00310398">
      <w:pPr>
        <w:pStyle w:val="ListParagraph"/>
        <w:numPr>
          <w:ilvl w:val="0"/>
          <w:numId w:val="2"/>
        </w:numPr>
      </w:pPr>
      <w:r>
        <w:rPr>
          <w:i/>
        </w:rPr>
        <w:t xml:space="preserve"> </w:t>
      </w:r>
      <w:r w:rsidR="00310398" w:rsidRPr="009554AF">
        <w:rPr>
          <w:i/>
        </w:rPr>
        <w:t>–</w:t>
      </w:r>
      <w:r w:rsidR="00310398">
        <w:rPr>
          <w:i/>
        </w:rPr>
        <w:t xml:space="preserve"> </w:t>
      </w:r>
      <w:proofErr w:type="spellStart"/>
      <w:r w:rsidR="00310398">
        <w:t>Puneet</w:t>
      </w:r>
      <w:proofErr w:type="spellEnd"/>
    </w:p>
    <w:p w:rsidR="00310398" w:rsidRDefault="00310398" w:rsidP="00310398">
      <w:pPr>
        <w:pStyle w:val="ListParagraph"/>
        <w:numPr>
          <w:ilvl w:val="0"/>
          <w:numId w:val="2"/>
        </w:numPr>
      </w:pPr>
      <w:r>
        <w:t xml:space="preserve">Types of Chemical Reactions Skit </w:t>
      </w:r>
      <w:r w:rsidRPr="009554AF">
        <w:rPr>
          <w:i/>
        </w:rPr>
        <w:t>–</w:t>
      </w:r>
      <w:r>
        <w:rPr>
          <w:i/>
        </w:rPr>
        <w:t xml:space="preserve"> </w:t>
      </w:r>
      <w:r>
        <w:t>Karen</w:t>
      </w:r>
    </w:p>
    <w:p w:rsidR="00310398" w:rsidRDefault="00310398" w:rsidP="00310398">
      <w:pPr>
        <w:pStyle w:val="ListParagraph"/>
        <w:numPr>
          <w:ilvl w:val="0"/>
          <w:numId w:val="2"/>
        </w:numPr>
      </w:pPr>
      <w:r>
        <w:t xml:space="preserve">Balancing Chemical Equations With Marshmallows </w:t>
      </w:r>
      <w:r w:rsidRPr="009554AF">
        <w:rPr>
          <w:i/>
        </w:rPr>
        <w:t>–</w:t>
      </w:r>
      <w:r>
        <w:rPr>
          <w:i/>
        </w:rPr>
        <w:t xml:space="preserve"> </w:t>
      </w:r>
      <w:r>
        <w:t>Karen</w:t>
      </w:r>
    </w:p>
    <w:p w:rsidR="00310398" w:rsidRDefault="00310398" w:rsidP="00310398">
      <w:pPr>
        <w:pStyle w:val="ListParagraph"/>
        <w:numPr>
          <w:ilvl w:val="0"/>
          <w:numId w:val="2"/>
        </w:numPr>
      </w:pPr>
      <w:r w:rsidRPr="009554AF">
        <w:rPr>
          <w:i/>
        </w:rPr>
        <w:t>–</w:t>
      </w:r>
      <w:r>
        <w:rPr>
          <w:i/>
        </w:rPr>
        <w:t xml:space="preserve"> </w:t>
      </w:r>
      <w:r>
        <w:t>Amy</w:t>
      </w:r>
    </w:p>
    <w:p w:rsidR="00310398" w:rsidRDefault="00D946E8" w:rsidP="00310398">
      <w:pPr>
        <w:pStyle w:val="ListParagraph"/>
        <w:numPr>
          <w:ilvl w:val="0"/>
          <w:numId w:val="2"/>
        </w:numPr>
      </w:pPr>
      <w:r>
        <w:t xml:space="preserve">Testing the Effects of </w:t>
      </w:r>
      <w:r w:rsidR="00310398">
        <w:t>Antacid</w:t>
      </w:r>
      <w:r>
        <w:t>s: Put Out the Fire!</w:t>
      </w:r>
      <w:r w:rsidR="00310398">
        <w:t xml:space="preserve"> </w:t>
      </w:r>
      <w:r w:rsidR="00310398" w:rsidRPr="009554AF">
        <w:rPr>
          <w:i/>
        </w:rPr>
        <w:t>–</w:t>
      </w:r>
      <w:r w:rsidR="00310398">
        <w:rPr>
          <w:i/>
        </w:rPr>
        <w:t xml:space="preserve"> </w:t>
      </w:r>
      <w:proofErr w:type="spellStart"/>
      <w:r w:rsidR="00310398">
        <w:t>Alessia</w:t>
      </w:r>
      <w:proofErr w:type="spellEnd"/>
    </w:p>
    <w:p w:rsidR="00310398" w:rsidRDefault="00310398" w:rsidP="00310398">
      <w:pPr>
        <w:autoSpaceDE w:val="0"/>
        <w:autoSpaceDN w:val="0"/>
        <w:adjustRightInd w:val="0"/>
        <w:spacing w:after="0" w:line="240" w:lineRule="auto"/>
        <w:rPr>
          <w:rFonts w:ascii="NeoSans-Bold" w:hAnsi="NeoSans-Bold" w:cs="NeoSans-Bold"/>
          <w:b/>
          <w:bCs/>
          <w:sz w:val="21"/>
          <w:szCs w:val="21"/>
        </w:rPr>
      </w:pPr>
    </w:p>
    <w:p w:rsidR="00310398" w:rsidRPr="007744C4" w:rsidRDefault="00310398" w:rsidP="007744C4">
      <w:pPr>
        <w:tabs>
          <w:tab w:val="right" w:pos="9360"/>
        </w:tabs>
      </w:pPr>
      <w:proofErr w:type="gramStart"/>
      <w:r w:rsidRPr="00B17DAE">
        <w:rPr>
          <w:b/>
        </w:rPr>
        <w:t>Applications and Societal Issues/Implications</w:t>
      </w:r>
      <w:r>
        <w:t xml:space="preserve"> </w:t>
      </w:r>
      <w:r w:rsidRPr="009554AF">
        <w:rPr>
          <w:i/>
        </w:rPr>
        <w:t>–</w:t>
      </w:r>
      <w:r w:rsidR="007744C4">
        <w:rPr>
          <w:i/>
        </w:rPr>
        <w:tab/>
      </w:r>
      <w:r w:rsidR="007744C4">
        <w:t>Pg.</w:t>
      </w:r>
      <w:proofErr w:type="gramEnd"/>
    </w:p>
    <w:p w:rsidR="00310398" w:rsidRPr="00B17DAE" w:rsidRDefault="00310398" w:rsidP="007744C4">
      <w:pPr>
        <w:tabs>
          <w:tab w:val="right" w:pos="9360"/>
        </w:tabs>
      </w:pPr>
      <w:r w:rsidRPr="00B17DAE">
        <w:rPr>
          <w:b/>
        </w:rPr>
        <w:t>Annotated References</w:t>
      </w:r>
      <w:r>
        <w:t xml:space="preserve"> </w:t>
      </w:r>
      <w:r w:rsidRPr="009554AF">
        <w:rPr>
          <w:i/>
        </w:rPr>
        <w:t>–</w:t>
      </w:r>
      <w:r>
        <w:rPr>
          <w:i/>
        </w:rPr>
        <w:t xml:space="preserve"> </w:t>
      </w:r>
      <w:r w:rsidR="00260792">
        <w:t xml:space="preserve">Searched for by group and compiled by </w:t>
      </w:r>
      <w:proofErr w:type="spellStart"/>
      <w:r>
        <w:t>Alessia</w:t>
      </w:r>
      <w:proofErr w:type="spellEnd"/>
      <w:r w:rsidR="007744C4">
        <w:tab/>
        <w:t xml:space="preserve">Pg. </w:t>
      </w:r>
    </w:p>
    <w:p w:rsidR="00310398" w:rsidRDefault="00310398" w:rsidP="00310398">
      <w:pPr>
        <w:autoSpaceDE w:val="0"/>
        <w:autoSpaceDN w:val="0"/>
        <w:adjustRightInd w:val="0"/>
        <w:spacing w:after="0" w:line="240" w:lineRule="auto"/>
        <w:rPr>
          <w:rFonts w:ascii="NeoSans-Bold" w:hAnsi="NeoSans-Bold" w:cs="NeoSans-Bold"/>
          <w:b/>
          <w:bCs/>
          <w:sz w:val="21"/>
          <w:szCs w:val="21"/>
        </w:rPr>
      </w:pPr>
    </w:p>
    <w:p w:rsidR="00260792" w:rsidRDefault="00260792">
      <w:r>
        <w:br w:type="page"/>
      </w:r>
    </w:p>
    <w:p w:rsidR="00260792" w:rsidRPr="00986B75" w:rsidRDefault="00260792" w:rsidP="0067307B">
      <w:pPr>
        <w:autoSpaceDE w:val="0"/>
        <w:autoSpaceDN w:val="0"/>
        <w:adjustRightInd w:val="0"/>
        <w:spacing w:after="0" w:line="240" w:lineRule="auto"/>
        <w:jc w:val="center"/>
        <w:rPr>
          <w:rFonts w:cs="NeoSans-Bold"/>
          <w:b/>
          <w:bCs/>
          <w:sz w:val="26"/>
          <w:szCs w:val="26"/>
        </w:rPr>
      </w:pPr>
      <w:r w:rsidRPr="00986B75">
        <w:rPr>
          <w:rFonts w:cs="NeoSans-Bold"/>
          <w:b/>
          <w:bCs/>
          <w:sz w:val="26"/>
          <w:szCs w:val="26"/>
        </w:rPr>
        <w:lastRenderedPageBreak/>
        <w:t>Misconceptions That May Be Encountered While Teaching SNC2P Chemistry</w:t>
      </w:r>
    </w:p>
    <w:p w:rsidR="00260792" w:rsidRPr="00986B75" w:rsidRDefault="00260792" w:rsidP="00260792">
      <w:pPr>
        <w:autoSpaceDE w:val="0"/>
        <w:autoSpaceDN w:val="0"/>
        <w:adjustRightInd w:val="0"/>
        <w:spacing w:after="0" w:line="240" w:lineRule="auto"/>
        <w:rPr>
          <w:rFonts w:cs="NeoSans-Bold"/>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260792" w:rsidRPr="00986B75" w:rsidTr="00D05121">
        <w:tc>
          <w:tcPr>
            <w:tcW w:w="4788" w:type="dxa"/>
            <w:shd w:val="clear" w:color="auto" w:fill="auto"/>
          </w:tcPr>
          <w:p w:rsidR="00260792" w:rsidRPr="00986B75" w:rsidRDefault="00260792" w:rsidP="00986B75">
            <w:pPr>
              <w:autoSpaceDE w:val="0"/>
              <w:autoSpaceDN w:val="0"/>
              <w:adjustRightInd w:val="0"/>
              <w:spacing w:after="0" w:line="240" w:lineRule="auto"/>
              <w:rPr>
                <w:rFonts w:cs="Calibri"/>
                <w:b/>
                <w:bCs/>
                <w:sz w:val="24"/>
                <w:szCs w:val="24"/>
              </w:rPr>
            </w:pPr>
            <w:r w:rsidRPr="00986B75">
              <w:rPr>
                <w:rFonts w:cs="Calibri"/>
                <w:b/>
                <w:bCs/>
                <w:sz w:val="24"/>
                <w:szCs w:val="24"/>
              </w:rPr>
              <w:t>Misconception</w:t>
            </w:r>
          </w:p>
        </w:tc>
        <w:tc>
          <w:tcPr>
            <w:tcW w:w="4788" w:type="dxa"/>
            <w:shd w:val="clear" w:color="auto" w:fill="auto"/>
          </w:tcPr>
          <w:p w:rsidR="00260792" w:rsidRPr="00986B75" w:rsidRDefault="00260792" w:rsidP="00986B75">
            <w:pPr>
              <w:autoSpaceDE w:val="0"/>
              <w:autoSpaceDN w:val="0"/>
              <w:adjustRightInd w:val="0"/>
              <w:spacing w:after="0" w:line="240" w:lineRule="auto"/>
              <w:rPr>
                <w:rFonts w:cs="Calibri"/>
                <w:b/>
                <w:bCs/>
                <w:sz w:val="24"/>
                <w:szCs w:val="24"/>
              </w:rPr>
            </w:pPr>
            <w:r w:rsidRPr="00986B75">
              <w:rPr>
                <w:rFonts w:cs="Calibri"/>
                <w:b/>
                <w:bCs/>
                <w:sz w:val="24"/>
                <w:szCs w:val="24"/>
              </w:rPr>
              <w:t>Explanations</w:t>
            </w:r>
          </w:p>
        </w:tc>
      </w:tr>
      <w:tr w:rsidR="00260792" w:rsidRPr="005462E3" w:rsidTr="00D05121">
        <w:tc>
          <w:tcPr>
            <w:tcW w:w="4788" w:type="dxa"/>
            <w:shd w:val="clear" w:color="auto" w:fill="auto"/>
          </w:tcPr>
          <w:p w:rsidR="00260792" w:rsidRPr="00986B75" w:rsidRDefault="00260792" w:rsidP="00D05121">
            <w:pPr>
              <w:autoSpaceDE w:val="0"/>
              <w:autoSpaceDN w:val="0"/>
              <w:adjustRightInd w:val="0"/>
              <w:spacing w:after="0" w:line="240" w:lineRule="auto"/>
              <w:rPr>
                <w:rFonts w:cs="Calibri"/>
                <w:bCs/>
              </w:rPr>
            </w:pPr>
            <w:r w:rsidRPr="00986B75">
              <w:rPr>
                <w:rFonts w:cs="Calibri"/>
                <w:bCs/>
              </w:rPr>
              <w:t xml:space="preserve">Table salt is the only salt. </w:t>
            </w:r>
          </w:p>
        </w:tc>
        <w:tc>
          <w:tcPr>
            <w:tcW w:w="4788" w:type="dxa"/>
            <w:shd w:val="clear" w:color="auto" w:fill="auto"/>
          </w:tcPr>
          <w:p w:rsidR="00260792" w:rsidRPr="00986B75" w:rsidRDefault="00260792" w:rsidP="00D05121">
            <w:pPr>
              <w:autoSpaceDE w:val="0"/>
              <w:autoSpaceDN w:val="0"/>
              <w:adjustRightInd w:val="0"/>
              <w:spacing w:after="0" w:line="240" w:lineRule="auto"/>
              <w:rPr>
                <w:rFonts w:cs="Calibri"/>
                <w:bCs/>
              </w:rPr>
            </w:pPr>
            <w:r w:rsidRPr="00986B75">
              <w:rPr>
                <w:rFonts w:cs="Calibri"/>
                <w:bCs/>
              </w:rPr>
              <w:t xml:space="preserve">Explain to students that ‘table salt’ is an example of a salt but that in chemistry, the term ‘salt’ is used more generally. It is the product of a neutralization reaction between an acid and a base. </w:t>
            </w:r>
          </w:p>
        </w:tc>
      </w:tr>
      <w:tr w:rsidR="00260792" w:rsidRPr="005462E3" w:rsidTr="00D05121">
        <w:tc>
          <w:tcPr>
            <w:tcW w:w="4788" w:type="dxa"/>
            <w:shd w:val="clear" w:color="auto" w:fill="auto"/>
          </w:tcPr>
          <w:p w:rsidR="00260792" w:rsidRPr="00986B75" w:rsidRDefault="00260792" w:rsidP="00D05121">
            <w:pPr>
              <w:autoSpaceDE w:val="0"/>
              <w:autoSpaceDN w:val="0"/>
              <w:adjustRightInd w:val="0"/>
              <w:spacing w:after="0" w:line="240" w:lineRule="auto"/>
              <w:rPr>
                <w:rFonts w:cs="Calibri"/>
                <w:bCs/>
              </w:rPr>
            </w:pPr>
            <w:r w:rsidRPr="00986B75">
              <w:rPr>
                <w:rFonts w:cs="Calibri"/>
                <w:bCs/>
              </w:rPr>
              <w:t xml:space="preserve">Ratios of elements in molecular compounds can be simplified. </w:t>
            </w:r>
          </w:p>
        </w:tc>
        <w:tc>
          <w:tcPr>
            <w:tcW w:w="4788" w:type="dxa"/>
            <w:shd w:val="clear" w:color="auto" w:fill="auto"/>
          </w:tcPr>
          <w:p w:rsidR="00260792" w:rsidRPr="00986B75" w:rsidRDefault="00260792" w:rsidP="00D05121">
            <w:pPr>
              <w:autoSpaceDE w:val="0"/>
              <w:autoSpaceDN w:val="0"/>
              <w:adjustRightInd w:val="0"/>
              <w:spacing w:after="0" w:line="240" w:lineRule="auto"/>
              <w:rPr>
                <w:rFonts w:cs="Calibri"/>
                <w:bCs/>
              </w:rPr>
            </w:pPr>
            <w:r w:rsidRPr="00986B75">
              <w:rPr>
                <w:rFonts w:cs="Calibri"/>
                <w:bCs/>
              </w:rPr>
              <w:t xml:space="preserve">Unlike ionic compounds, the ratio of elements in molecular compounds cannot be simplified because the ratio represents molecules. </w:t>
            </w:r>
          </w:p>
        </w:tc>
      </w:tr>
      <w:tr w:rsidR="00260792" w:rsidRPr="005462E3" w:rsidTr="00D05121">
        <w:tc>
          <w:tcPr>
            <w:tcW w:w="4788" w:type="dxa"/>
            <w:shd w:val="clear" w:color="auto" w:fill="auto"/>
          </w:tcPr>
          <w:p w:rsidR="00260792" w:rsidRPr="00986B75" w:rsidRDefault="00260792" w:rsidP="00D05121">
            <w:pPr>
              <w:autoSpaceDE w:val="0"/>
              <w:autoSpaceDN w:val="0"/>
              <w:adjustRightInd w:val="0"/>
              <w:spacing w:after="0" w:line="240" w:lineRule="auto"/>
              <w:rPr>
                <w:rFonts w:cs="Calibri"/>
                <w:bCs/>
              </w:rPr>
            </w:pPr>
            <w:r w:rsidRPr="00986B75">
              <w:rPr>
                <w:rFonts w:cs="Calibri"/>
                <w:bCs/>
              </w:rPr>
              <w:t xml:space="preserve">Gases are </w:t>
            </w:r>
            <w:proofErr w:type="spellStart"/>
            <w:r w:rsidRPr="00986B75">
              <w:rPr>
                <w:rFonts w:cs="Calibri"/>
                <w:bCs/>
              </w:rPr>
              <w:t>massless</w:t>
            </w:r>
            <w:proofErr w:type="spellEnd"/>
            <w:r w:rsidRPr="00986B75">
              <w:rPr>
                <w:rFonts w:cs="Calibri"/>
                <w:bCs/>
              </w:rPr>
              <w:t>.</w:t>
            </w:r>
          </w:p>
        </w:tc>
        <w:tc>
          <w:tcPr>
            <w:tcW w:w="4788" w:type="dxa"/>
            <w:shd w:val="clear" w:color="auto" w:fill="auto"/>
          </w:tcPr>
          <w:p w:rsidR="00260792" w:rsidRPr="00986B75" w:rsidRDefault="00260792" w:rsidP="00D05121">
            <w:pPr>
              <w:autoSpaceDE w:val="0"/>
              <w:autoSpaceDN w:val="0"/>
              <w:adjustRightInd w:val="0"/>
              <w:spacing w:after="0" w:line="240" w:lineRule="auto"/>
              <w:rPr>
                <w:rFonts w:cs="Calibri"/>
                <w:bCs/>
              </w:rPr>
            </w:pPr>
            <w:r w:rsidRPr="00986B75">
              <w:rPr>
                <w:rFonts w:cs="Calibri"/>
                <w:bCs/>
              </w:rPr>
              <w:t xml:space="preserve">All gases have a mass. Doing an experiment in which a gas is created (from evaporation, burning, etc.) and trapped can demonstrate this concept. </w:t>
            </w:r>
          </w:p>
        </w:tc>
      </w:tr>
      <w:tr w:rsidR="00260792" w:rsidRPr="005462E3" w:rsidTr="00D05121">
        <w:tc>
          <w:tcPr>
            <w:tcW w:w="4788" w:type="dxa"/>
            <w:shd w:val="clear" w:color="auto" w:fill="auto"/>
          </w:tcPr>
          <w:p w:rsidR="00260792" w:rsidRPr="00986B75" w:rsidRDefault="00260792" w:rsidP="00D05121">
            <w:pPr>
              <w:autoSpaceDE w:val="0"/>
              <w:autoSpaceDN w:val="0"/>
              <w:adjustRightInd w:val="0"/>
              <w:spacing w:after="0" w:line="240" w:lineRule="auto"/>
              <w:rPr>
                <w:rFonts w:cs="Calibri"/>
                <w:bCs/>
              </w:rPr>
            </w:pPr>
            <w:r w:rsidRPr="00986B75">
              <w:rPr>
                <w:rFonts w:cs="Calibri"/>
                <w:bCs/>
              </w:rPr>
              <w:t xml:space="preserve">All acids and bases are dangerous. </w:t>
            </w:r>
          </w:p>
        </w:tc>
        <w:tc>
          <w:tcPr>
            <w:tcW w:w="4788" w:type="dxa"/>
            <w:shd w:val="clear" w:color="auto" w:fill="auto"/>
          </w:tcPr>
          <w:p w:rsidR="00260792" w:rsidRPr="00986B75" w:rsidRDefault="00260792" w:rsidP="00D05121">
            <w:pPr>
              <w:autoSpaceDE w:val="0"/>
              <w:autoSpaceDN w:val="0"/>
              <w:adjustRightInd w:val="0"/>
              <w:spacing w:after="0" w:line="240" w:lineRule="auto"/>
              <w:rPr>
                <w:rFonts w:cs="Calibri"/>
                <w:bCs/>
              </w:rPr>
            </w:pPr>
            <w:r w:rsidRPr="00986B75">
              <w:rPr>
                <w:rFonts w:cs="Calibri"/>
                <w:bCs/>
              </w:rPr>
              <w:t xml:space="preserve">Many food products are acidic and/or basic and therefore not harmful. Also, most household cleaning agents are bases but are not corrosive enough to cause harm. </w:t>
            </w:r>
          </w:p>
        </w:tc>
      </w:tr>
      <w:tr w:rsidR="00260792" w:rsidRPr="005462E3" w:rsidTr="00D05121">
        <w:tc>
          <w:tcPr>
            <w:tcW w:w="4788" w:type="dxa"/>
            <w:shd w:val="clear" w:color="auto" w:fill="auto"/>
          </w:tcPr>
          <w:p w:rsidR="00260792" w:rsidRPr="00986B75" w:rsidRDefault="00260792" w:rsidP="00D05121">
            <w:pPr>
              <w:autoSpaceDE w:val="0"/>
              <w:autoSpaceDN w:val="0"/>
              <w:adjustRightInd w:val="0"/>
              <w:spacing w:after="0" w:line="240" w:lineRule="auto"/>
              <w:rPr>
                <w:rFonts w:cs="Calibri"/>
                <w:bCs/>
              </w:rPr>
            </w:pPr>
            <w:r w:rsidRPr="00986B75">
              <w:rPr>
                <w:rFonts w:cs="Calibri"/>
                <w:bCs/>
              </w:rPr>
              <w:t xml:space="preserve">Any acid (weak or strong) will neutralize any base (weak or strong). </w:t>
            </w:r>
          </w:p>
        </w:tc>
        <w:tc>
          <w:tcPr>
            <w:tcW w:w="4788" w:type="dxa"/>
            <w:shd w:val="clear" w:color="auto" w:fill="auto"/>
          </w:tcPr>
          <w:p w:rsidR="00260792" w:rsidRPr="00986B75" w:rsidRDefault="00260792" w:rsidP="00D05121">
            <w:pPr>
              <w:autoSpaceDE w:val="0"/>
              <w:autoSpaceDN w:val="0"/>
              <w:adjustRightInd w:val="0"/>
              <w:spacing w:after="0" w:line="240" w:lineRule="auto"/>
              <w:rPr>
                <w:rFonts w:cs="Calibri"/>
                <w:bCs/>
              </w:rPr>
            </w:pPr>
            <w:r w:rsidRPr="00986B75">
              <w:rPr>
                <w:rFonts w:cs="Calibri"/>
                <w:bCs/>
              </w:rPr>
              <w:t xml:space="preserve">Neutralize depends on the relative strength or pH of the substances. Also, the product of the reaction (salt) may not be neutral. </w:t>
            </w:r>
          </w:p>
        </w:tc>
      </w:tr>
      <w:tr w:rsidR="00260792" w:rsidRPr="005462E3" w:rsidTr="00D05121">
        <w:tc>
          <w:tcPr>
            <w:tcW w:w="4788" w:type="dxa"/>
            <w:shd w:val="clear" w:color="auto" w:fill="auto"/>
          </w:tcPr>
          <w:p w:rsidR="00260792" w:rsidRPr="00986B75" w:rsidRDefault="00260792" w:rsidP="00D05121">
            <w:pPr>
              <w:autoSpaceDE w:val="0"/>
              <w:autoSpaceDN w:val="0"/>
              <w:adjustRightInd w:val="0"/>
              <w:spacing w:after="0" w:line="240" w:lineRule="auto"/>
              <w:rPr>
                <w:rFonts w:cs="Calibri"/>
                <w:bCs/>
              </w:rPr>
            </w:pPr>
            <w:r w:rsidRPr="00986B75">
              <w:rPr>
                <w:rFonts w:cs="Calibri"/>
              </w:rPr>
              <w:t>The relationship between lost/gained electrons and charge is often inverted.</w:t>
            </w:r>
          </w:p>
        </w:tc>
        <w:tc>
          <w:tcPr>
            <w:tcW w:w="4788" w:type="dxa"/>
            <w:shd w:val="clear" w:color="auto" w:fill="auto"/>
          </w:tcPr>
          <w:p w:rsidR="00260792" w:rsidRPr="00986B75" w:rsidRDefault="00260792" w:rsidP="00D05121">
            <w:pPr>
              <w:autoSpaceDE w:val="0"/>
              <w:autoSpaceDN w:val="0"/>
              <w:adjustRightInd w:val="0"/>
              <w:spacing w:after="0" w:line="240" w:lineRule="auto"/>
              <w:rPr>
                <w:rFonts w:cs="Calibri"/>
              </w:rPr>
            </w:pPr>
            <w:r w:rsidRPr="00986B75">
              <w:rPr>
                <w:rFonts w:cs="Calibri"/>
              </w:rPr>
              <w:t>The teacher should reinforce that electrons are negatively charged. You could use integer chips/</w:t>
            </w:r>
            <w:proofErr w:type="spellStart"/>
            <w:r w:rsidRPr="00986B75">
              <w:rPr>
                <w:rFonts w:cs="Calibri"/>
              </w:rPr>
              <w:t>manipulatives</w:t>
            </w:r>
            <w:proofErr w:type="spellEnd"/>
            <w:r w:rsidRPr="00986B75">
              <w:rPr>
                <w:rFonts w:cs="Calibri"/>
              </w:rPr>
              <w:t xml:space="preserve"> to represent the balance</w:t>
            </w:r>
          </w:p>
          <w:p w:rsidR="00260792" w:rsidRPr="00986B75" w:rsidRDefault="00260792" w:rsidP="00D05121">
            <w:pPr>
              <w:autoSpaceDE w:val="0"/>
              <w:autoSpaceDN w:val="0"/>
              <w:adjustRightInd w:val="0"/>
              <w:spacing w:after="0" w:line="240" w:lineRule="auto"/>
              <w:rPr>
                <w:rFonts w:cs="Calibri"/>
                <w:bCs/>
              </w:rPr>
            </w:pPr>
            <w:proofErr w:type="gramStart"/>
            <w:r w:rsidRPr="00986B75">
              <w:rPr>
                <w:rFonts w:cs="Calibri"/>
              </w:rPr>
              <w:t>of</w:t>
            </w:r>
            <w:proofErr w:type="gramEnd"/>
            <w:r w:rsidRPr="00986B75">
              <w:rPr>
                <w:rFonts w:cs="Calibri"/>
              </w:rPr>
              <w:t xml:space="preserve"> protons (+) and electrons (−) and give examples to demonstrate how electrons affect charge. </w:t>
            </w:r>
          </w:p>
        </w:tc>
      </w:tr>
    </w:tbl>
    <w:p w:rsidR="00260792" w:rsidRPr="00986B75" w:rsidRDefault="00260792" w:rsidP="00260792">
      <w:pPr>
        <w:rPr>
          <w:sz w:val="26"/>
          <w:szCs w:val="26"/>
        </w:rPr>
      </w:pPr>
    </w:p>
    <w:p w:rsidR="00260792" w:rsidRPr="00986B75" w:rsidRDefault="00260792" w:rsidP="0067307B">
      <w:pPr>
        <w:autoSpaceDE w:val="0"/>
        <w:autoSpaceDN w:val="0"/>
        <w:adjustRightInd w:val="0"/>
        <w:spacing w:after="0" w:line="240" w:lineRule="auto"/>
        <w:jc w:val="center"/>
        <w:rPr>
          <w:rFonts w:cs="NeoSans-Bold"/>
          <w:b/>
          <w:bCs/>
          <w:sz w:val="26"/>
          <w:szCs w:val="26"/>
        </w:rPr>
      </w:pPr>
      <w:r w:rsidRPr="00986B75">
        <w:rPr>
          <w:rFonts w:cs="NeoSans-Bold"/>
          <w:b/>
          <w:bCs/>
          <w:sz w:val="26"/>
          <w:szCs w:val="26"/>
        </w:rPr>
        <w:t>Effective Instructional Strategies for Teaching SNC2P Chemistry</w:t>
      </w:r>
    </w:p>
    <w:p w:rsidR="00260792" w:rsidRDefault="00260792" w:rsidP="0067307B">
      <w:pPr>
        <w:autoSpaceDE w:val="0"/>
        <w:autoSpaceDN w:val="0"/>
        <w:adjustRightInd w:val="0"/>
        <w:spacing w:after="0" w:line="240" w:lineRule="auto"/>
        <w:jc w:val="center"/>
        <w:rPr>
          <w:rFonts w:cs="NeoSans-Bold"/>
          <w:b/>
          <w:bCs/>
          <w:sz w:val="24"/>
          <w:szCs w:val="24"/>
        </w:rPr>
      </w:pPr>
    </w:p>
    <w:p w:rsidR="00260792" w:rsidRDefault="00260792" w:rsidP="0067307B">
      <w:pPr>
        <w:numPr>
          <w:ilvl w:val="0"/>
          <w:numId w:val="5"/>
        </w:numPr>
        <w:autoSpaceDE w:val="0"/>
        <w:autoSpaceDN w:val="0"/>
        <w:adjustRightInd w:val="0"/>
        <w:spacing w:after="0" w:line="240" w:lineRule="auto"/>
        <w:jc w:val="center"/>
        <w:rPr>
          <w:rFonts w:ascii="NeoSans-Bold" w:hAnsi="NeoSans-Bold" w:cs="NeoSans-Bold"/>
          <w:b/>
          <w:bCs/>
          <w:sz w:val="21"/>
          <w:szCs w:val="21"/>
        </w:rPr>
      </w:pPr>
      <w:r>
        <w:rPr>
          <w:rFonts w:ascii="NeoSans-Bold" w:hAnsi="NeoSans-Bold" w:cs="NeoSans-Bold"/>
          <w:b/>
          <w:bCs/>
          <w:sz w:val="21"/>
          <w:szCs w:val="21"/>
        </w:rPr>
        <w:t>Cue cards, flash cards, repetition</w:t>
      </w:r>
    </w:p>
    <w:p w:rsidR="00260792" w:rsidRDefault="00260792" w:rsidP="0067307B">
      <w:pPr>
        <w:numPr>
          <w:ilvl w:val="0"/>
          <w:numId w:val="5"/>
        </w:numPr>
        <w:autoSpaceDE w:val="0"/>
        <w:autoSpaceDN w:val="0"/>
        <w:adjustRightInd w:val="0"/>
        <w:spacing w:after="0" w:line="240" w:lineRule="auto"/>
        <w:jc w:val="center"/>
        <w:rPr>
          <w:rFonts w:ascii="NeoSans-Bold" w:hAnsi="NeoSans-Bold" w:cs="NeoSans-Bold"/>
          <w:b/>
          <w:bCs/>
          <w:sz w:val="21"/>
          <w:szCs w:val="21"/>
        </w:rPr>
      </w:pPr>
      <w:r>
        <w:rPr>
          <w:rFonts w:ascii="NeoSans-Bold" w:hAnsi="NeoSans-Bold" w:cs="NeoSans-Bold"/>
          <w:b/>
          <w:bCs/>
          <w:sz w:val="21"/>
          <w:szCs w:val="21"/>
        </w:rPr>
        <w:t>Using visuals (</w:t>
      </w:r>
      <w:proofErr w:type="spellStart"/>
      <w:r>
        <w:rPr>
          <w:rFonts w:ascii="NeoSans-Bold" w:hAnsi="NeoSans-Bold" w:cs="NeoSans-Bold"/>
          <w:b/>
          <w:bCs/>
          <w:sz w:val="21"/>
          <w:szCs w:val="21"/>
        </w:rPr>
        <w:t>eg</w:t>
      </w:r>
      <w:proofErr w:type="spellEnd"/>
      <w:r>
        <w:rPr>
          <w:rFonts w:ascii="NeoSans-Bold" w:hAnsi="NeoSans-Bold" w:cs="NeoSans-Bold"/>
          <w:b/>
          <w:bCs/>
          <w:sz w:val="21"/>
          <w:szCs w:val="21"/>
        </w:rPr>
        <w:t xml:space="preserve">. videos, demonstrations, </w:t>
      </w:r>
      <w:proofErr w:type="spellStart"/>
      <w:r>
        <w:rPr>
          <w:rFonts w:ascii="NeoSans-Bold" w:hAnsi="NeoSans-Bold" w:cs="NeoSans-Bold"/>
          <w:b/>
          <w:bCs/>
          <w:sz w:val="21"/>
          <w:szCs w:val="21"/>
        </w:rPr>
        <w:t>manipulatives</w:t>
      </w:r>
      <w:proofErr w:type="spellEnd"/>
      <w:r>
        <w:rPr>
          <w:rFonts w:ascii="NeoSans-Bold" w:hAnsi="NeoSans-Bold" w:cs="NeoSans-Bold"/>
          <w:b/>
          <w:bCs/>
          <w:sz w:val="21"/>
          <w:szCs w:val="21"/>
        </w:rPr>
        <w:t>)</w:t>
      </w:r>
    </w:p>
    <w:p w:rsidR="00260792" w:rsidRDefault="00260792" w:rsidP="0067307B">
      <w:pPr>
        <w:numPr>
          <w:ilvl w:val="0"/>
          <w:numId w:val="5"/>
        </w:numPr>
        <w:autoSpaceDE w:val="0"/>
        <w:autoSpaceDN w:val="0"/>
        <w:adjustRightInd w:val="0"/>
        <w:spacing w:after="0" w:line="240" w:lineRule="auto"/>
        <w:jc w:val="center"/>
        <w:rPr>
          <w:rFonts w:ascii="NeoSans-Bold" w:hAnsi="NeoSans-Bold" w:cs="NeoSans-Bold"/>
          <w:b/>
          <w:bCs/>
          <w:sz w:val="21"/>
          <w:szCs w:val="21"/>
        </w:rPr>
      </w:pPr>
      <w:r>
        <w:rPr>
          <w:rFonts w:ascii="NeoSans-Bold" w:hAnsi="NeoSans-Bold" w:cs="NeoSans-Bold"/>
          <w:b/>
          <w:bCs/>
          <w:sz w:val="21"/>
          <w:szCs w:val="21"/>
        </w:rPr>
        <w:t>Experiments—lots of them!</w:t>
      </w:r>
    </w:p>
    <w:p w:rsidR="00260792" w:rsidRPr="007F5E87" w:rsidRDefault="00260792" w:rsidP="0067307B">
      <w:pPr>
        <w:numPr>
          <w:ilvl w:val="0"/>
          <w:numId w:val="5"/>
        </w:numPr>
        <w:autoSpaceDE w:val="0"/>
        <w:autoSpaceDN w:val="0"/>
        <w:adjustRightInd w:val="0"/>
        <w:spacing w:after="0" w:line="240" w:lineRule="auto"/>
        <w:jc w:val="center"/>
        <w:rPr>
          <w:rFonts w:ascii="NeoSans-Bold" w:hAnsi="NeoSans-Bold" w:cs="NeoSans-Bold"/>
          <w:b/>
          <w:bCs/>
          <w:sz w:val="21"/>
          <w:szCs w:val="21"/>
        </w:rPr>
      </w:pPr>
      <w:r>
        <w:rPr>
          <w:rFonts w:ascii="NeoSans-Bold" w:hAnsi="NeoSans-Bold" w:cs="NeoSans-Bold"/>
          <w:b/>
          <w:bCs/>
          <w:sz w:val="21"/>
          <w:szCs w:val="21"/>
        </w:rPr>
        <w:t>Using mnemonics and analogies</w:t>
      </w:r>
    </w:p>
    <w:p w:rsidR="00260792" w:rsidRDefault="00260792" w:rsidP="00260792">
      <w:pPr>
        <w:autoSpaceDE w:val="0"/>
        <w:autoSpaceDN w:val="0"/>
        <w:adjustRightInd w:val="0"/>
        <w:spacing w:after="0" w:line="240" w:lineRule="auto"/>
        <w:rPr>
          <w:rFonts w:cs="NeoSans-Bold"/>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483"/>
      </w:tblGrid>
      <w:tr w:rsidR="00260792" w:rsidRPr="00FE5DDB" w:rsidTr="00D05121">
        <w:tc>
          <w:tcPr>
            <w:tcW w:w="2093" w:type="dxa"/>
          </w:tcPr>
          <w:p w:rsidR="00260792" w:rsidRPr="00FE5DDB" w:rsidRDefault="00260792" w:rsidP="00D05121">
            <w:pPr>
              <w:autoSpaceDE w:val="0"/>
              <w:autoSpaceDN w:val="0"/>
              <w:adjustRightInd w:val="0"/>
              <w:spacing w:after="0" w:line="240" w:lineRule="auto"/>
              <w:rPr>
                <w:rFonts w:cs="NeoSans-Bold"/>
                <w:b/>
                <w:bCs/>
                <w:sz w:val="24"/>
                <w:szCs w:val="24"/>
              </w:rPr>
            </w:pPr>
            <w:r w:rsidRPr="00FE5DDB">
              <w:rPr>
                <w:rFonts w:cs="NeoSans-Bold"/>
                <w:b/>
                <w:bCs/>
                <w:sz w:val="24"/>
                <w:szCs w:val="24"/>
              </w:rPr>
              <w:t>Potential Student Difficulties</w:t>
            </w:r>
          </w:p>
        </w:tc>
        <w:tc>
          <w:tcPr>
            <w:tcW w:w="7483" w:type="dxa"/>
          </w:tcPr>
          <w:p w:rsidR="00260792" w:rsidRPr="00FE5DDB" w:rsidRDefault="00260792" w:rsidP="00D05121">
            <w:pPr>
              <w:autoSpaceDE w:val="0"/>
              <w:autoSpaceDN w:val="0"/>
              <w:adjustRightInd w:val="0"/>
              <w:spacing w:after="0" w:line="240" w:lineRule="auto"/>
              <w:rPr>
                <w:rFonts w:cs="NeoSans-Bold"/>
                <w:b/>
                <w:bCs/>
                <w:sz w:val="24"/>
                <w:szCs w:val="24"/>
              </w:rPr>
            </w:pPr>
            <w:r w:rsidRPr="00FE5DDB">
              <w:rPr>
                <w:rFonts w:cs="NeoSans-Bold"/>
                <w:b/>
                <w:bCs/>
                <w:sz w:val="24"/>
                <w:szCs w:val="24"/>
              </w:rPr>
              <w:t>Possible Solutions</w:t>
            </w:r>
          </w:p>
        </w:tc>
      </w:tr>
      <w:tr w:rsidR="00260792" w:rsidRPr="00FE5DDB" w:rsidTr="00D05121">
        <w:tc>
          <w:tcPr>
            <w:tcW w:w="2093" w:type="dxa"/>
          </w:tcPr>
          <w:p w:rsidR="00260792" w:rsidRPr="00986B75" w:rsidRDefault="00260792" w:rsidP="00D05121">
            <w:pPr>
              <w:autoSpaceDE w:val="0"/>
              <w:autoSpaceDN w:val="0"/>
              <w:adjustRightInd w:val="0"/>
              <w:spacing w:after="0" w:line="240" w:lineRule="auto"/>
              <w:rPr>
                <w:rFonts w:cs="NeoSans-Bold"/>
                <w:b/>
                <w:bCs/>
              </w:rPr>
            </w:pPr>
            <w:r w:rsidRPr="00986B75">
              <w:t>Realizing the relevance in naming and reading chemical compounds</w:t>
            </w:r>
          </w:p>
        </w:tc>
        <w:tc>
          <w:tcPr>
            <w:tcW w:w="7483" w:type="dxa"/>
          </w:tcPr>
          <w:p w:rsidR="00260792" w:rsidRPr="00986B75" w:rsidRDefault="00260792" w:rsidP="00D05121">
            <w:pPr>
              <w:spacing w:after="0" w:line="240" w:lineRule="auto"/>
            </w:pPr>
            <w:r w:rsidRPr="00986B75">
              <w:t xml:space="preserve">Giving students an example, such as the petition against </w:t>
            </w:r>
            <w:proofErr w:type="spellStart"/>
            <w:r w:rsidRPr="00986B75">
              <w:t>dihydrogen</w:t>
            </w:r>
            <w:proofErr w:type="spellEnd"/>
            <w:r w:rsidRPr="00986B75">
              <w:t xml:space="preserve"> monoxide may help them to better understand the need for such a system. </w:t>
            </w:r>
          </w:p>
          <w:p w:rsidR="00260792" w:rsidRPr="00986B75" w:rsidRDefault="00260792" w:rsidP="00D05121">
            <w:pPr>
              <w:autoSpaceDE w:val="0"/>
              <w:autoSpaceDN w:val="0"/>
              <w:adjustRightInd w:val="0"/>
              <w:spacing w:after="0" w:line="240" w:lineRule="auto"/>
              <w:rPr>
                <w:rFonts w:cs="NeoSans-Bold"/>
                <w:b/>
                <w:bCs/>
              </w:rPr>
            </w:pPr>
          </w:p>
        </w:tc>
      </w:tr>
      <w:tr w:rsidR="00260792" w:rsidRPr="00FE5DDB" w:rsidTr="00D05121">
        <w:tc>
          <w:tcPr>
            <w:tcW w:w="2093" w:type="dxa"/>
          </w:tcPr>
          <w:p w:rsidR="00260792" w:rsidRPr="00986B75" w:rsidRDefault="00260792" w:rsidP="00D05121">
            <w:pPr>
              <w:autoSpaceDE w:val="0"/>
              <w:autoSpaceDN w:val="0"/>
              <w:adjustRightInd w:val="0"/>
              <w:spacing w:after="0" w:line="240" w:lineRule="auto"/>
              <w:rPr>
                <w:rFonts w:cs="NeoSans-Bold"/>
                <w:b/>
                <w:bCs/>
              </w:rPr>
            </w:pPr>
            <w:r w:rsidRPr="00986B75">
              <w:t>Trouble mastering chemical nomenclatures</w:t>
            </w:r>
          </w:p>
        </w:tc>
        <w:tc>
          <w:tcPr>
            <w:tcW w:w="7483" w:type="dxa"/>
          </w:tcPr>
          <w:p w:rsidR="00260792" w:rsidRPr="00986B75" w:rsidRDefault="00260792" w:rsidP="00D05121">
            <w:pPr>
              <w:autoSpaceDE w:val="0"/>
              <w:autoSpaceDN w:val="0"/>
              <w:adjustRightInd w:val="0"/>
              <w:spacing w:after="0" w:line="240" w:lineRule="auto"/>
              <w:rPr>
                <w:rFonts w:cs="NeoSans-Bold"/>
                <w:b/>
                <w:bCs/>
              </w:rPr>
            </w:pPr>
            <w:r w:rsidRPr="00986B75">
              <w:t>Provide several opportunities for students to practice chemical nomenclature (</w:t>
            </w:r>
            <w:proofErr w:type="spellStart"/>
            <w:r w:rsidRPr="00986B75">
              <w:t>eg</w:t>
            </w:r>
            <w:proofErr w:type="spellEnd"/>
            <w:r w:rsidRPr="00986B75">
              <w:t>. having a quiz at the beginning of each class). Also encourage students to use cue cards for the rules of nomenclature and flash cards to practice naming.</w:t>
            </w:r>
          </w:p>
        </w:tc>
      </w:tr>
      <w:tr w:rsidR="00260792" w:rsidRPr="00FE5DDB" w:rsidTr="00D05121">
        <w:tc>
          <w:tcPr>
            <w:tcW w:w="2093" w:type="dxa"/>
          </w:tcPr>
          <w:p w:rsidR="00260792" w:rsidRPr="00986B75" w:rsidRDefault="00260792" w:rsidP="00D05121">
            <w:pPr>
              <w:autoSpaceDE w:val="0"/>
              <w:autoSpaceDN w:val="0"/>
              <w:adjustRightInd w:val="0"/>
              <w:spacing w:after="0" w:line="240" w:lineRule="auto"/>
              <w:rPr>
                <w:rFonts w:cs="NeoSans-Bold"/>
                <w:b/>
                <w:bCs/>
              </w:rPr>
            </w:pPr>
            <w:r w:rsidRPr="00986B75">
              <w:t xml:space="preserve">Difficulty in remembering the </w:t>
            </w:r>
            <w:r w:rsidRPr="00986B75">
              <w:lastRenderedPageBreak/>
              <w:t>different signs of chemical change</w:t>
            </w:r>
          </w:p>
        </w:tc>
        <w:tc>
          <w:tcPr>
            <w:tcW w:w="7483" w:type="dxa"/>
          </w:tcPr>
          <w:p w:rsidR="00260792" w:rsidRPr="00986B75" w:rsidRDefault="00260792" w:rsidP="00D05121">
            <w:pPr>
              <w:spacing w:after="0" w:line="240" w:lineRule="auto"/>
            </w:pPr>
            <w:r w:rsidRPr="00986B75">
              <w:lastRenderedPageBreak/>
              <w:t xml:space="preserve">You can use the following demonstrations to help them remember: </w:t>
            </w:r>
          </w:p>
          <w:p w:rsidR="00260792" w:rsidRPr="00986B75" w:rsidRDefault="00260792" w:rsidP="00260792">
            <w:pPr>
              <w:pStyle w:val="ListParagraph"/>
              <w:numPr>
                <w:ilvl w:val="0"/>
                <w:numId w:val="4"/>
              </w:numPr>
              <w:spacing w:after="0" w:line="240" w:lineRule="auto"/>
            </w:pPr>
            <w:r w:rsidRPr="00986B75">
              <w:t xml:space="preserve">To show the formation of a precipitate: add copper(II) sulphate to </w:t>
            </w:r>
            <w:r w:rsidRPr="00986B75">
              <w:lastRenderedPageBreak/>
              <w:t>sodium hydroxide</w:t>
            </w:r>
          </w:p>
          <w:p w:rsidR="00260792" w:rsidRPr="00986B75" w:rsidRDefault="00260792" w:rsidP="00260792">
            <w:pPr>
              <w:pStyle w:val="ListParagraph"/>
              <w:numPr>
                <w:ilvl w:val="0"/>
                <w:numId w:val="4"/>
              </w:numPr>
              <w:spacing w:after="0" w:line="240" w:lineRule="auto"/>
            </w:pPr>
            <w:r w:rsidRPr="00986B75">
              <w:t>To show the release of heat and light: light magnesium ribbon on fire</w:t>
            </w:r>
          </w:p>
          <w:p w:rsidR="00260792" w:rsidRPr="00986B75" w:rsidRDefault="00260792" w:rsidP="00260792">
            <w:pPr>
              <w:pStyle w:val="ListParagraph"/>
              <w:numPr>
                <w:ilvl w:val="0"/>
                <w:numId w:val="4"/>
              </w:numPr>
              <w:spacing w:after="0" w:line="240" w:lineRule="auto"/>
            </w:pPr>
            <w:r w:rsidRPr="00986B75">
              <w:t>To show the production of gas: add a small piece of calcium metal in water</w:t>
            </w:r>
          </w:p>
          <w:p w:rsidR="00260792" w:rsidRPr="00986B75" w:rsidRDefault="00260792" w:rsidP="00260792">
            <w:pPr>
              <w:pStyle w:val="ListParagraph"/>
              <w:numPr>
                <w:ilvl w:val="0"/>
                <w:numId w:val="4"/>
              </w:numPr>
              <w:spacing w:after="0" w:line="240" w:lineRule="auto"/>
            </w:pPr>
            <w:r w:rsidRPr="00986B75">
              <w:t xml:space="preserve">To show a colour change: add a few drops of phenolphthalein into sodium hydroxide </w:t>
            </w:r>
          </w:p>
        </w:tc>
      </w:tr>
      <w:tr w:rsidR="00260792" w:rsidRPr="00FE5DDB" w:rsidTr="00D05121">
        <w:tc>
          <w:tcPr>
            <w:tcW w:w="2093" w:type="dxa"/>
          </w:tcPr>
          <w:p w:rsidR="00260792" w:rsidRPr="00986B75" w:rsidRDefault="00260792" w:rsidP="00D05121">
            <w:pPr>
              <w:autoSpaceDE w:val="0"/>
              <w:autoSpaceDN w:val="0"/>
              <w:adjustRightInd w:val="0"/>
              <w:spacing w:after="0" w:line="240" w:lineRule="auto"/>
              <w:rPr>
                <w:rFonts w:cs="NeoSans-Bold"/>
                <w:b/>
                <w:bCs/>
              </w:rPr>
            </w:pPr>
            <w:r w:rsidRPr="00986B75">
              <w:lastRenderedPageBreak/>
              <w:t>Engaging students in chemistry can be a challenge</w:t>
            </w:r>
          </w:p>
        </w:tc>
        <w:tc>
          <w:tcPr>
            <w:tcW w:w="7483" w:type="dxa"/>
          </w:tcPr>
          <w:p w:rsidR="00260792" w:rsidRPr="00986B75" w:rsidRDefault="00260792" w:rsidP="00D05121">
            <w:pPr>
              <w:spacing w:after="0" w:line="240" w:lineRule="auto"/>
            </w:pPr>
            <w:r w:rsidRPr="00986B75">
              <w:t>Showing students videos or demonstrations which display concepts being taught may pique their interests and inspire a curiosity to learn more about the subject. Here are four videos sure to get them excited about the different types of reaction:</w:t>
            </w:r>
          </w:p>
          <w:p w:rsidR="00260792" w:rsidRPr="00986B75" w:rsidRDefault="00260792" w:rsidP="00260792">
            <w:pPr>
              <w:pStyle w:val="ListParagraph"/>
              <w:numPr>
                <w:ilvl w:val="0"/>
                <w:numId w:val="6"/>
              </w:numPr>
              <w:spacing w:after="0" w:line="240" w:lineRule="auto"/>
            </w:pPr>
            <w:r w:rsidRPr="00986B75">
              <w:t xml:space="preserve">Synthesis of </w:t>
            </w:r>
            <w:proofErr w:type="spellStart"/>
            <w:r w:rsidRPr="00986B75">
              <w:t>NaCl</w:t>
            </w:r>
            <w:proofErr w:type="spellEnd"/>
            <w:r w:rsidRPr="00986B75">
              <w:t xml:space="preserve"> from its elements (Na + Cl</w:t>
            </w:r>
            <w:r w:rsidRPr="00986B75">
              <w:rPr>
                <w:vertAlign w:val="subscript"/>
              </w:rPr>
              <w:t>2</w:t>
            </w:r>
            <w:r w:rsidRPr="00986B75">
              <w:t xml:space="preserve"> → </w:t>
            </w:r>
            <w:proofErr w:type="spellStart"/>
            <w:r w:rsidRPr="00986B75">
              <w:t>NaCl</w:t>
            </w:r>
            <w:proofErr w:type="spellEnd"/>
            <w:r w:rsidRPr="00986B75">
              <w:t>)</w:t>
            </w:r>
          </w:p>
          <w:p w:rsidR="00260792" w:rsidRPr="00986B75" w:rsidRDefault="00260792" w:rsidP="00260792">
            <w:pPr>
              <w:pStyle w:val="ListParagraph"/>
              <w:numPr>
                <w:ilvl w:val="1"/>
                <w:numId w:val="6"/>
              </w:numPr>
              <w:spacing w:after="0" w:line="240" w:lineRule="auto"/>
            </w:pPr>
            <w:r w:rsidRPr="00986B75">
              <w:t xml:space="preserve">Link: </w:t>
            </w:r>
            <w:hyperlink r:id="rId5" w:history="1">
              <w:r w:rsidRPr="00986B75">
                <w:rPr>
                  <w:rStyle w:val="Hyperlink"/>
                </w:rPr>
                <w:t>http://www.youtube.com/watch?v=Mx5JJWI2aaw</w:t>
              </w:r>
            </w:hyperlink>
            <w:r w:rsidRPr="00986B75">
              <w:t xml:space="preserve"> </w:t>
            </w:r>
          </w:p>
          <w:p w:rsidR="00260792" w:rsidRPr="00986B75" w:rsidRDefault="00260792" w:rsidP="00260792">
            <w:pPr>
              <w:pStyle w:val="ListParagraph"/>
              <w:numPr>
                <w:ilvl w:val="0"/>
                <w:numId w:val="6"/>
              </w:numPr>
              <w:spacing w:after="0" w:line="240" w:lineRule="auto"/>
            </w:pPr>
            <w:r w:rsidRPr="00986B75">
              <w:t xml:space="preserve">Decomposition of nitrogen </w:t>
            </w:r>
            <w:proofErr w:type="spellStart"/>
            <w:r w:rsidRPr="00986B75">
              <w:t>triiodide</w:t>
            </w:r>
            <w:proofErr w:type="spellEnd"/>
            <w:r w:rsidRPr="00986B75">
              <w:t xml:space="preserve"> (NI</w:t>
            </w:r>
            <w:r w:rsidRPr="00986B75">
              <w:rPr>
                <w:vertAlign w:val="subscript"/>
              </w:rPr>
              <w:t xml:space="preserve">3 </w:t>
            </w:r>
            <w:r w:rsidRPr="00986B75">
              <w:t>→ N</w:t>
            </w:r>
            <w:r w:rsidRPr="00986B75">
              <w:rPr>
                <w:vertAlign w:val="subscript"/>
              </w:rPr>
              <w:t>2</w:t>
            </w:r>
            <w:r w:rsidRPr="00986B75">
              <w:t xml:space="preserve"> + I</w:t>
            </w:r>
            <w:r w:rsidRPr="00986B75">
              <w:rPr>
                <w:vertAlign w:val="subscript"/>
              </w:rPr>
              <w:t>2</w:t>
            </w:r>
            <w:r w:rsidRPr="00986B75">
              <w:t>)</w:t>
            </w:r>
          </w:p>
          <w:p w:rsidR="00260792" w:rsidRPr="00986B75" w:rsidRDefault="00260792" w:rsidP="00260792">
            <w:pPr>
              <w:pStyle w:val="ListParagraph"/>
              <w:numPr>
                <w:ilvl w:val="1"/>
                <w:numId w:val="6"/>
              </w:numPr>
              <w:spacing w:after="0" w:line="240" w:lineRule="auto"/>
            </w:pPr>
            <w:r w:rsidRPr="00986B75">
              <w:t xml:space="preserve">Link: </w:t>
            </w:r>
            <w:hyperlink r:id="rId6" w:history="1">
              <w:r w:rsidRPr="00986B75">
                <w:rPr>
                  <w:rStyle w:val="Hyperlink"/>
                </w:rPr>
                <w:t>http://www.youtube.com/watch?v=2KlAf936E90</w:t>
              </w:r>
            </w:hyperlink>
          </w:p>
          <w:p w:rsidR="00260792" w:rsidRPr="00986B75" w:rsidRDefault="00260792" w:rsidP="00260792">
            <w:pPr>
              <w:pStyle w:val="ListParagraph"/>
              <w:numPr>
                <w:ilvl w:val="0"/>
                <w:numId w:val="6"/>
              </w:numPr>
              <w:spacing w:after="0" w:line="240" w:lineRule="auto"/>
            </w:pPr>
            <w:r w:rsidRPr="00986B75">
              <w:t>Single displacement reactions of the alkali metals (</w:t>
            </w:r>
            <w:proofErr w:type="spellStart"/>
            <w:r w:rsidRPr="00986B75">
              <w:t>Rb</w:t>
            </w:r>
            <w:proofErr w:type="spellEnd"/>
            <w:r w:rsidRPr="00986B75">
              <w:t xml:space="preserve"> + H</w:t>
            </w:r>
            <w:r w:rsidRPr="00986B75">
              <w:rPr>
                <w:vertAlign w:val="subscript"/>
              </w:rPr>
              <w:t>2</w:t>
            </w:r>
            <w:r w:rsidRPr="00986B75">
              <w:t>O → Rb</w:t>
            </w:r>
            <w:r w:rsidRPr="00986B75">
              <w:rPr>
                <w:vertAlign w:val="subscript"/>
              </w:rPr>
              <w:t>2</w:t>
            </w:r>
            <w:r w:rsidRPr="00986B75">
              <w:t>O + H</w:t>
            </w:r>
            <w:r w:rsidRPr="00986B75">
              <w:rPr>
                <w:vertAlign w:val="subscript"/>
              </w:rPr>
              <w:t xml:space="preserve">2 </w:t>
            </w:r>
            <w:r w:rsidRPr="00986B75">
              <w:t>and Cs + H</w:t>
            </w:r>
            <w:r w:rsidRPr="00986B75">
              <w:rPr>
                <w:vertAlign w:val="subscript"/>
              </w:rPr>
              <w:t>2</w:t>
            </w:r>
            <w:r w:rsidRPr="00986B75">
              <w:t>O → Cs</w:t>
            </w:r>
            <w:r w:rsidRPr="00986B75">
              <w:rPr>
                <w:vertAlign w:val="subscript"/>
              </w:rPr>
              <w:t>2</w:t>
            </w:r>
            <w:r w:rsidRPr="00986B75">
              <w:t>O + H</w:t>
            </w:r>
            <w:r w:rsidRPr="00986B75">
              <w:rPr>
                <w:vertAlign w:val="subscript"/>
              </w:rPr>
              <w:t>2</w:t>
            </w:r>
            <w:r w:rsidRPr="00986B75">
              <w:t>)</w:t>
            </w:r>
          </w:p>
          <w:p w:rsidR="00260792" w:rsidRPr="00986B75" w:rsidRDefault="00260792" w:rsidP="00260792">
            <w:pPr>
              <w:pStyle w:val="ListParagraph"/>
              <w:numPr>
                <w:ilvl w:val="1"/>
                <w:numId w:val="6"/>
              </w:numPr>
              <w:spacing w:after="0" w:line="240" w:lineRule="auto"/>
            </w:pPr>
            <w:r w:rsidRPr="00986B75">
              <w:t xml:space="preserve">Link: </w:t>
            </w:r>
            <w:hyperlink r:id="rId7" w:history="1">
              <w:r w:rsidRPr="00986B75">
                <w:rPr>
                  <w:rStyle w:val="Hyperlink"/>
                </w:rPr>
                <w:t>http://www.youtube.com/watch?v=m55kgyApYrY</w:t>
              </w:r>
            </w:hyperlink>
          </w:p>
          <w:p w:rsidR="00260792" w:rsidRPr="00986B75" w:rsidRDefault="00260792" w:rsidP="00260792">
            <w:pPr>
              <w:pStyle w:val="ListParagraph"/>
              <w:numPr>
                <w:ilvl w:val="0"/>
                <w:numId w:val="6"/>
              </w:numPr>
              <w:spacing w:after="0" w:line="240" w:lineRule="auto"/>
            </w:pPr>
            <w:r w:rsidRPr="00986B75">
              <w:t>Double displacement reactions of silver nitrate and sodium hydroxide (Ag(NO</w:t>
            </w:r>
            <w:r w:rsidRPr="00986B75">
              <w:rPr>
                <w:vertAlign w:val="subscript"/>
              </w:rPr>
              <w:t>3</w:t>
            </w:r>
            <w:r w:rsidRPr="00986B75">
              <w:t>) + Na(OH) → Ag(OH) + Na(NO</w:t>
            </w:r>
            <w:r w:rsidRPr="00986B75">
              <w:rPr>
                <w:vertAlign w:val="subscript"/>
              </w:rPr>
              <w:t>3</w:t>
            </w:r>
            <w:r w:rsidRPr="00986B75">
              <w:t>))</w:t>
            </w:r>
          </w:p>
          <w:p w:rsidR="00260792" w:rsidRPr="00986B75" w:rsidRDefault="00260792" w:rsidP="00260792">
            <w:pPr>
              <w:pStyle w:val="ListParagraph"/>
              <w:numPr>
                <w:ilvl w:val="1"/>
                <w:numId w:val="6"/>
              </w:numPr>
              <w:spacing w:after="0" w:line="240" w:lineRule="auto"/>
            </w:pPr>
            <w:r w:rsidRPr="00986B75">
              <w:t xml:space="preserve">Link: </w:t>
            </w:r>
            <w:hyperlink r:id="rId8" w:history="1">
              <w:r w:rsidRPr="00986B75">
                <w:rPr>
                  <w:rStyle w:val="Hyperlink"/>
                </w:rPr>
                <w:t>http://www.youtube.com/watch?v=SuoN0hQPeMw</w:t>
              </w:r>
            </w:hyperlink>
          </w:p>
          <w:p w:rsidR="00260792" w:rsidRPr="00986B75" w:rsidRDefault="00260792" w:rsidP="00260792">
            <w:pPr>
              <w:pStyle w:val="ListParagraph"/>
              <w:numPr>
                <w:ilvl w:val="0"/>
                <w:numId w:val="3"/>
              </w:numPr>
              <w:spacing w:after="0" w:line="240" w:lineRule="auto"/>
            </w:pPr>
            <w:r w:rsidRPr="00986B75">
              <w:rPr>
                <w:i/>
                <w:u w:val="single"/>
              </w:rPr>
              <w:t>Note:</w:t>
            </w:r>
            <w:r w:rsidRPr="00986B75">
              <w:rPr>
                <w:i/>
              </w:rPr>
              <w:t xml:space="preserve"> You may want to use </w:t>
            </w:r>
            <w:hyperlink r:id="rId9" w:history="1">
              <w:r w:rsidRPr="00986B75">
                <w:rPr>
                  <w:rStyle w:val="Hyperlink"/>
                  <w:i/>
                </w:rPr>
                <w:t>www.keepvid.com</w:t>
              </w:r>
            </w:hyperlink>
            <w:r w:rsidRPr="00986B75">
              <w:rPr>
                <w:i/>
              </w:rPr>
              <w:t xml:space="preserve"> to upload the videos onto your computer</w:t>
            </w:r>
          </w:p>
          <w:p w:rsidR="00260792" w:rsidRPr="00986B75" w:rsidRDefault="00260792" w:rsidP="00D05121">
            <w:pPr>
              <w:pStyle w:val="ListParagraph"/>
              <w:spacing w:after="0" w:line="240" w:lineRule="auto"/>
              <w:ind w:left="0"/>
            </w:pPr>
            <w:r w:rsidRPr="00986B75">
              <w:t>You may also want to check out your school library for videos (e.g., Bill Nye the Science Guy series)</w:t>
            </w:r>
          </w:p>
        </w:tc>
      </w:tr>
      <w:tr w:rsidR="00260792" w:rsidRPr="00FE5DDB" w:rsidTr="00D05121">
        <w:tc>
          <w:tcPr>
            <w:tcW w:w="2093" w:type="dxa"/>
          </w:tcPr>
          <w:p w:rsidR="00260792" w:rsidRPr="00986B75" w:rsidRDefault="00260792" w:rsidP="00D05121">
            <w:pPr>
              <w:autoSpaceDE w:val="0"/>
              <w:autoSpaceDN w:val="0"/>
              <w:adjustRightInd w:val="0"/>
              <w:spacing w:after="0" w:line="240" w:lineRule="auto"/>
              <w:rPr>
                <w:rFonts w:cs="NeoSans-Bold"/>
                <w:b/>
                <w:bCs/>
              </w:rPr>
            </w:pPr>
            <w:r w:rsidRPr="00986B75">
              <w:t>Difficulty in remembering the names of the different types of reactions and what they entail</w:t>
            </w:r>
          </w:p>
        </w:tc>
        <w:tc>
          <w:tcPr>
            <w:tcW w:w="7483" w:type="dxa"/>
          </w:tcPr>
          <w:p w:rsidR="00260792" w:rsidRPr="00986B75" w:rsidRDefault="00260792" w:rsidP="00D05121">
            <w:pPr>
              <w:autoSpaceDE w:val="0"/>
              <w:autoSpaceDN w:val="0"/>
              <w:adjustRightInd w:val="0"/>
              <w:spacing w:after="0" w:line="240" w:lineRule="auto"/>
              <w:rPr>
                <w:rFonts w:cs="NeoSans-Bold"/>
                <w:b/>
                <w:bCs/>
              </w:rPr>
            </w:pPr>
            <w:proofErr w:type="spellStart"/>
            <w:r w:rsidRPr="00986B75">
              <w:t>Manipulatives</w:t>
            </w:r>
            <w:proofErr w:type="spellEnd"/>
            <w:r w:rsidRPr="00986B75">
              <w:t xml:space="preserve"> and relationship analogies would be useful in illustrating the different types of reactions.</w:t>
            </w:r>
          </w:p>
        </w:tc>
      </w:tr>
      <w:tr w:rsidR="00260792" w:rsidRPr="00FE5DDB" w:rsidTr="00D05121">
        <w:tc>
          <w:tcPr>
            <w:tcW w:w="2093" w:type="dxa"/>
          </w:tcPr>
          <w:p w:rsidR="00260792" w:rsidRPr="00986B75" w:rsidRDefault="00260792" w:rsidP="00D05121">
            <w:pPr>
              <w:autoSpaceDE w:val="0"/>
              <w:autoSpaceDN w:val="0"/>
              <w:adjustRightInd w:val="0"/>
              <w:spacing w:after="0" w:line="240" w:lineRule="auto"/>
              <w:rPr>
                <w:rFonts w:cs="NeoSans-Bold"/>
                <w:b/>
                <w:bCs/>
              </w:rPr>
            </w:pPr>
            <w:r w:rsidRPr="00986B75">
              <w:t>Difficulty in understanding that each type of atom must be balanced in a balanced chemical equation</w:t>
            </w:r>
          </w:p>
        </w:tc>
        <w:tc>
          <w:tcPr>
            <w:tcW w:w="7483" w:type="dxa"/>
          </w:tcPr>
          <w:p w:rsidR="00260792" w:rsidRPr="00986B75" w:rsidRDefault="00260792" w:rsidP="00D05121">
            <w:pPr>
              <w:spacing w:after="0" w:line="240" w:lineRule="auto"/>
            </w:pPr>
            <w:r w:rsidRPr="00986B75">
              <w:t xml:space="preserve">You can use </w:t>
            </w:r>
            <w:proofErr w:type="spellStart"/>
            <w:r w:rsidRPr="00986B75">
              <w:t>Legos</w:t>
            </w:r>
            <w:proofErr w:type="spellEnd"/>
            <w:r w:rsidRPr="00986B75">
              <w:t xml:space="preserve"> or other </w:t>
            </w:r>
            <w:proofErr w:type="spellStart"/>
            <w:r w:rsidRPr="00986B75">
              <w:t>manipulatives</w:t>
            </w:r>
            <w:proofErr w:type="spellEnd"/>
            <w:r w:rsidRPr="00986B75">
              <w:t xml:space="preserve"> that come in varying sizes to help students understand this concept by emphasizing how the masses differ for different atoms.</w:t>
            </w:r>
          </w:p>
          <w:p w:rsidR="00260792" w:rsidRPr="00986B75" w:rsidRDefault="00260792" w:rsidP="00D05121">
            <w:pPr>
              <w:autoSpaceDE w:val="0"/>
              <w:autoSpaceDN w:val="0"/>
              <w:adjustRightInd w:val="0"/>
              <w:spacing w:after="0" w:line="240" w:lineRule="auto"/>
              <w:rPr>
                <w:rFonts w:cs="NeoSans-Bold"/>
                <w:b/>
                <w:bCs/>
              </w:rPr>
            </w:pPr>
          </w:p>
        </w:tc>
      </w:tr>
      <w:tr w:rsidR="00260792" w:rsidRPr="00FE5DDB" w:rsidTr="00D05121">
        <w:tc>
          <w:tcPr>
            <w:tcW w:w="2093" w:type="dxa"/>
          </w:tcPr>
          <w:p w:rsidR="00260792" w:rsidRPr="00986B75" w:rsidRDefault="00260792" w:rsidP="00D05121">
            <w:pPr>
              <w:autoSpaceDE w:val="0"/>
              <w:autoSpaceDN w:val="0"/>
              <w:adjustRightInd w:val="0"/>
              <w:spacing w:after="0" w:line="240" w:lineRule="auto"/>
              <w:rPr>
                <w:rFonts w:cs="NeoSans-Bold"/>
                <w:b/>
                <w:bCs/>
              </w:rPr>
            </w:pPr>
            <w:r w:rsidRPr="00986B75">
              <w:t>Difficulty in remembering which numbers correspond to acids and bases on the pH scale</w:t>
            </w:r>
          </w:p>
        </w:tc>
        <w:tc>
          <w:tcPr>
            <w:tcW w:w="7483" w:type="dxa"/>
          </w:tcPr>
          <w:p w:rsidR="00260792" w:rsidRPr="00986B75" w:rsidRDefault="00260792" w:rsidP="00D05121">
            <w:pPr>
              <w:spacing w:after="0" w:line="240" w:lineRule="auto"/>
            </w:pPr>
            <w:r w:rsidRPr="00986B75">
              <w:t xml:space="preserve">A good strategy is to use mnemonics, such as Bigger numbers for Basic. </w:t>
            </w:r>
          </w:p>
          <w:p w:rsidR="00260792" w:rsidRPr="00986B75" w:rsidRDefault="00260792" w:rsidP="00D05121">
            <w:pPr>
              <w:autoSpaceDE w:val="0"/>
              <w:autoSpaceDN w:val="0"/>
              <w:adjustRightInd w:val="0"/>
              <w:spacing w:after="0" w:line="240" w:lineRule="auto"/>
              <w:rPr>
                <w:rFonts w:cs="NeoSans-Bold"/>
                <w:b/>
                <w:bCs/>
              </w:rPr>
            </w:pPr>
          </w:p>
        </w:tc>
      </w:tr>
    </w:tbl>
    <w:p w:rsidR="00260792" w:rsidRPr="00F64800" w:rsidRDefault="00260792" w:rsidP="00260792">
      <w:pPr>
        <w:autoSpaceDE w:val="0"/>
        <w:autoSpaceDN w:val="0"/>
        <w:adjustRightInd w:val="0"/>
        <w:spacing w:after="0" w:line="240" w:lineRule="auto"/>
        <w:rPr>
          <w:rFonts w:cs="NeoSans-Bold"/>
          <w:b/>
          <w:bCs/>
          <w:sz w:val="24"/>
          <w:szCs w:val="24"/>
        </w:rPr>
      </w:pPr>
    </w:p>
    <w:p w:rsidR="005E6CB5" w:rsidRDefault="005E6CB5" w:rsidP="005E6CB5">
      <w:pPr>
        <w:jc w:val="center"/>
        <w:rPr>
          <w:b/>
          <w:sz w:val="26"/>
          <w:szCs w:val="26"/>
        </w:rPr>
      </w:pPr>
      <w:r w:rsidRPr="0067307B">
        <w:rPr>
          <w:b/>
          <w:sz w:val="26"/>
          <w:szCs w:val="26"/>
        </w:rPr>
        <w:t>A</w:t>
      </w:r>
      <w:r>
        <w:rPr>
          <w:b/>
          <w:sz w:val="26"/>
          <w:szCs w:val="26"/>
        </w:rPr>
        <w:t>pplications and Societal Issues/Implications</w:t>
      </w:r>
    </w:p>
    <w:p w:rsidR="005E6CB5" w:rsidRPr="007744C4" w:rsidRDefault="005E6CB5" w:rsidP="005E6CB5">
      <w:pPr>
        <w:jc w:val="center"/>
      </w:pPr>
      <w:r w:rsidRPr="007744C4">
        <w:t>....</w:t>
      </w:r>
    </w:p>
    <w:p w:rsidR="0067307B" w:rsidRPr="0067307B" w:rsidRDefault="0067307B" w:rsidP="0067307B">
      <w:pPr>
        <w:jc w:val="center"/>
        <w:rPr>
          <w:b/>
          <w:sz w:val="26"/>
          <w:szCs w:val="26"/>
        </w:rPr>
      </w:pPr>
      <w:r w:rsidRPr="0067307B">
        <w:rPr>
          <w:b/>
          <w:sz w:val="26"/>
          <w:szCs w:val="26"/>
        </w:rPr>
        <w:t>Annotated Bibliography for SNC2P Chemistry</w:t>
      </w:r>
    </w:p>
    <w:p w:rsidR="0067307B" w:rsidRDefault="0067307B" w:rsidP="0067307B">
      <w:pPr>
        <w:rPr>
          <w:sz w:val="24"/>
          <w:szCs w:val="24"/>
        </w:rPr>
      </w:pPr>
      <w:r>
        <w:rPr>
          <w:b/>
          <w:sz w:val="24"/>
          <w:szCs w:val="24"/>
        </w:rPr>
        <w:lastRenderedPageBreak/>
        <w:t>Health and Safety Information on Household Products</w:t>
      </w:r>
    </w:p>
    <w:p w:rsidR="0067307B" w:rsidRPr="0067307B" w:rsidRDefault="0067307B" w:rsidP="0067307B">
      <w:r w:rsidRPr="0067307B">
        <w:t xml:space="preserve">This resource lists the health and safety information for commonly used household products as well as chemicals, pesticides, and even beauty products. This is a great resource to address the curriculum expectations which address learning about household hazards. Also, this gives students an opportunity to learn about hazards that they had previously not considered. Student handouts and/or assignments could be made to scaffold the activity.  </w:t>
      </w:r>
    </w:p>
    <w:p w:rsidR="0067307B" w:rsidRPr="0067307B" w:rsidRDefault="0067307B" w:rsidP="0067307B">
      <w:proofErr w:type="gramStart"/>
      <w:r w:rsidRPr="0067307B">
        <w:t>U.S. Department of Health and Human Services.</w:t>
      </w:r>
      <w:proofErr w:type="gramEnd"/>
      <w:r w:rsidRPr="0067307B">
        <w:t xml:space="preserve"> (June 2010). </w:t>
      </w:r>
      <w:r w:rsidRPr="0067307B">
        <w:rPr>
          <w:i/>
        </w:rPr>
        <w:t>Household Products Database: Health and Safety Information on Household Products.</w:t>
      </w:r>
      <w:r w:rsidRPr="0067307B">
        <w:t xml:space="preserve"> </w:t>
      </w:r>
      <w:proofErr w:type="gramStart"/>
      <w:r w:rsidRPr="0067307B">
        <w:t xml:space="preserve">Retrieved from </w:t>
      </w:r>
      <w:hyperlink r:id="rId10" w:history="1">
        <w:r w:rsidRPr="0067307B">
          <w:rPr>
            <w:rStyle w:val="Hyperlink"/>
          </w:rPr>
          <w:t>http://householdproducts.nlm.nih.gov/index.htm</w:t>
        </w:r>
      </w:hyperlink>
      <w:r w:rsidRPr="0067307B">
        <w:t>.</w:t>
      </w:r>
      <w:proofErr w:type="gramEnd"/>
      <w:r w:rsidRPr="0067307B">
        <w:t xml:space="preserve"> </w:t>
      </w:r>
    </w:p>
    <w:p w:rsidR="0067307B" w:rsidRDefault="0067307B" w:rsidP="0067307B">
      <w:pPr>
        <w:rPr>
          <w:b/>
          <w:sz w:val="24"/>
          <w:szCs w:val="24"/>
        </w:rPr>
      </w:pPr>
      <w:proofErr w:type="spellStart"/>
      <w:r w:rsidRPr="006715CB">
        <w:rPr>
          <w:b/>
          <w:sz w:val="24"/>
          <w:szCs w:val="24"/>
        </w:rPr>
        <w:t>LiveChem</w:t>
      </w:r>
      <w:proofErr w:type="spellEnd"/>
    </w:p>
    <w:p w:rsidR="0067307B" w:rsidRPr="0067307B" w:rsidRDefault="0067307B" w:rsidP="0067307B">
      <w:r w:rsidRPr="0067307B">
        <w:t xml:space="preserve">This resource allows students to compare the effects of combining different salts and reagents together. This can allow students to investigate the properties of salts and also address the misconception that ‘table salt’ is the only salt. Although the content may be slightly advanced for an applied class, it can still serve to address misconceptions. </w:t>
      </w:r>
    </w:p>
    <w:p w:rsidR="0067307B" w:rsidRPr="0067307B" w:rsidRDefault="0067307B" w:rsidP="0067307B">
      <w:r w:rsidRPr="0067307B">
        <w:t xml:space="preserve">Adcock, O. (2005). </w:t>
      </w:r>
      <w:proofErr w:type="spellStart"/>
      <w:proofErr w:type="gramStart"/>
      <w:r w:rsidRPr="0067307B">
        <w:rPr>
          <w:i/>
        </w:rPr>
        <w:t>LiveChem</w:t>
      </w:r>
      <w:proofErr w:type="spellEnd"/>
      <w:r w:rsidRPr="0067307B">
        <w:t>.</w:t>
      </w:r>
      <w:proofErr w:type="gramEnd"/>
      <w:r w:rsidRPr="0067307B">
        <w:t xml:space="preserve"> </w:t>
      </w:r>
      <w:proofErr w:type="gramStart"/>
      <w:r w:rsidRPr="0067307B">
        <w:t xml:space="preserve">Retrieved from </w:t>
      </w:r>
      <w:hyperlink r:id="rId11" w:history="1">
        <w:r w:rsidRPr="0067307B">
          <w:rPr>
            <w:rStyle w:val="Hyperlink"/>
          </w:rPr>
          <w:t>http://www.chem.ox.ac.uk/vrchemistry/livechem/transitionmetals_content.html</w:t>
        </w:r>
      </w:hyperlink>
      <w:r w:rsidRPr="0067307B">
        <w:t>.</w:t>
      </w:r>
      <w:proofErr w:type="gramEnd"/>
      <w:r w:rsidRPr="0067307B">
        <w:t xml:space="preserve"> </w:t>
      </w:r>
    </w:p>
    <w:p w:rsidR="0067307B" w:rsidRDefault="0067307B" w:rsidP="0067307B">
      <w:pPr>
        <w:rPr>
          <w:b/>
          <w:sz w:val="24"/>
          <w:szCs w:val="24"/>
        </w:rPr>
      </w:pPr>
      <w:r>
        <w:rPr>
          <w:b/>
          <w:sz w:val="24"/>
          <w:szCs w:val="24"/>
        </w:rPr>
        <w:t>National Resource Council of Canada</w:t>
      </w:r>
    </w:p>
    <w:p w:rsidR="0067307B" w:rsidRPr="0067307B" w:rsidRDefault="0067307B" w:rsidP="0067307B">
      <w:pPr>
        <w:spacing w:after="0" w:line="240" w:lineRule="auto"/>
      </w:pPr>
      <w:r w:rsidRPr="0067307B">
        <w:t xml:space="preserve">This website, which is run by the Government of Canada, provides several FREE resources which can be ordered and given out to students. These include periodic tables of the elements, constellation tables and graphs, and much more. Printed resources can be ordered at no cost. It also provides links to current articles and research by scientists and high school students alike.  Handouts, curriculum connections, and interactive activities are also available. </w:t>
      </w:r>
    </w:p>
    <w:p w:rsidR="0067307B" w:rsidRPr="0067307B" w:rsidRDefault="0067307B" w:rsidP="0067307B">
      <w:pPr>
        <w:spacing w:after="0" w:line="240" w:lineRule="auto"/>
      </w:pPr>
    </w:p>
    <w:p w:rsidR="0067307B" w:rsidRPr="0067307B" w:rsidRDefault="0067307B" w:rsidP="0067307B">
      <w:pPr>
        <w:spacing w:after="0" w:line="240" w:lineRule="auto"/>
      </w:pPr>
      <w:proofErr w:type="gramStart"/>
      <w:r w:rsidRPr="0067307B">
        <w:t>National Research Council of Canada.</w:t>
      </w:r>
      <w:proofErr w:type="gramEnd"/>
      <w:r w:rsidRPr="0067307B">
        <w:t xml:space="preserve"> </w:t>
      </w:r>
      <w:proofErr w:type="gramStart"/>
      <w:r w:rsidRPr="0067307B">
        <w:t xml:space="preserve">(2011). </w:t>
      </w:r>
      <w:r w:rsidRPr="0067307B">
        <w:rPr>
          <w:i/>
        </w:rPr>
        <w:t>Teacher’s Corner</w:t>
      </w:r>
      <w:r w:rsidRPr="0067307B">
        <w:t>.</w:t>
      </w:r>
      <w:proofErr w:type="gramEnd"/>
      <w:r w:rsidRPr="0067307B">
        <w:t xml:space="preserve"> </w:t>
      </w:r>
      <w:proofErr w:type="gramStart"/>
      <w:r w:rsidRPr="0067307B">
        <w:t xml:space="preserve">Retrieved from </w:t>
      </w:r>
      <w:hyperlink r:id="rId12" w:history="1">
        <w:r w:rsidRPr="0067307B">
          <w:rPr>
            <w:rStyle w:val="Hyperlink"/>
          </w:rPr>
          <w:t>http://www.nrc-cnrc.gc.ca/eng/education/biology/index.html</w:t>
        </w:r>
      </w:hyperlink>
      <w:r w:rsidRPr="0067307B">
        <w:t>.</w:t>
      </w:r>
      <w:proofErr w:type="gramEnd"/>
      <w:r w:rsidRPr="0067307B">
        <w:t xml:space="preserve"> </w:t>
      </w:r>
    </w:p>
    <w:p w:rsidR="0067307B" w:rsidRDefault="0067307B" w:rsidP="0067307B">
      <w:pPr>
        <w:spacing w:after="0" w:line="240" w:lineRule="auto"/>
        <w:rPr>
          <w:sz w:val="24"/>
          <w:szCs w:val="24"/>
        </w:rPr>
      </w:pPr>
    </w:p>
    <w:p w:rsidR="0067307B" w:rsidRDefault="0067307B" w:rsidP="0067307B">
      <w:pPr>
        <w:spacing w:after="0" w:line="240" w:lineRule="auto"/>
        <w:rPr>
          <w:sz w:val="24"/>
          <w:szCs w:val="24"/>
        </w:rPr>
      </w:pPr>
      <w:r>
        <w:rPr>
          <w:b/>
          <w:sz w:val="24"/>
          <w:szCs w:val="24"/>
        </w:rPr>
        <w:t>Steve Spangler Science</w:t>
      </w:r>
    </w:p>
    <w:p w:rsidR="0067307B" w:rsidRDefault="0067307B" w:rsidP="0067307B">
      <w:pPr>
        <w:spacing w:after="0" w:line="240" w:lineRule="auto"/>
        <w:rPr>
          <w:sz w:val="24"/>
          <w:szCs w:val="24"/>
        </w:rPr>
      </w:pPr>
    </w:p>
    <w:p w:rsidR="0067307B" w:rsidRPr="0067307B" w:rsidRDefault="0067307B" w:rsidP="0067307B">
      <w:pPr>
        <w:spacing w:after="0" w:line="240" w:lineRule="auto"/>
      </w:pPr>
      <w:r w:rsidRPr="0067307B">
        <w:t xml:space="preserve">This resource contains ideas for labs and demonstrations as well as the apparatus needed to run them. It has several videos explaining how demonstrations and labs work and tips for how to run them. </w:t>
      </w:r>
    </w:p>
    <w:p w:rsidR="0067307B" w:rsidRPr="0067307B" w:rsidRDefault="0067307B" w:rsidP="0067307B">
      <w:pPr>
        <w:spacing w:after="0" w:line="240" w:lineRule="auto"/>
      </w:pPr>
    </w:p>
    <w:p w:rsidR="0067307B" w:rsidRPr="0067307B" w:rsidRDefault="0067307B" w:rsidP="0067307B">
      <w:pPr>
        <w:spacing w:after="0" w:line="240" w:lineRule="auto"/>
      </w:pPr>
      <w:proofErr w:type="gramStart"/>
      <w:r w:rsidRPr="0067307B">
        <w:t>Steve Spangler Science.</w:t>
      </w:r>
      <w:proofErr w:type="gramEnd"/>
      <w:r w:rsidRPr="0067307B">
        <w:t xml:space="preserve"> (2001). </w:t>
      </w:r>
      <w:r w:rsidRPr="0067307B">
        <w:rPr>
          <w:i/>
        </w:rPr>
        <w:t>Steve Spangler Science: Making Science Fun.</w:t>
      </w:r>
      <w:r w:rsidRPr="0067307B">
        <w:t xml:space="preserve"> Retrieved from http://www.stevespanglerscience.com</w:t>
      </w:r>
      <w:bookmarkStart w:id="0" w:name="_GoBack"/>
      <w:bookmarkEnd w:id="0"/>
    </w:p>
    <w:p w:rsidR="00260792" w:rsidRPr="0067307B" w:rsidRDefault="00260792" w:rsidP="00260792"/>
    <w:p w:rsidR="00310398" w:rsidRPr="0067307B" w:rsidRDefault="00310398" w:rsidP="00310398">
      <w:pPr>
        <w:widowControl w:val="0"/>
        <w:tabs>
          <w:tab w:val="left" w:pos="-1162"/>
          <w:tab w:val="left" w:pos="-720"/>
          <w:tab w:val="left" w:pos="0"/>
          <w:tab w:val="left" w:pos="2160"/>
          <w:tab w:val="left" w:pos="4320"/>
          <w:tab w:val="left" w:pos="5040"/>
          <w:tab w:val="left" w:pos="5760"/>
          <w:tab w:val="left" w:pos="6480"/>
          <w:tab w:val="left" w:pos="7200"/>
          <w:tab w:val="left" w:pos="7920"/>
          <w:tab w:val="left" w:pos="9360"/>
        </w:tabs>
        <w:spacing w:after="0" w:line="240" w:lineRule="auto"/>
      </w:pPr>
    </w:p>
    <w:p w:rsidR="00310398" w:rsidRDefault="00310398" w:rsidP="00310398">
      <w:pPr>
        <w:widowControl w:val="0"/>
        <w:tabs>
          <w:tab w:val="left" w:pos="-1162"/>
          <w:tab w:val="left" w:pos="-720"/>
          <w:tab w:val="left" w:pos="0"/>
          <w:tab w:val="left" w:pos="2160"/>
          <w:tab w:val="left" w:pos="4320"/>
          <w:tab w:val="left" w:pos="5040"/>
          <w:tab w:val="left" w:pos="5760"/>
          <w:tab w:val="left" w:pos="6480"/>
          <w:tab w:val="left" w:pos="7200"/>
          <w:tab w:val="left" w:pos="7920"/>
          <w:tab w:val="left" w:pos="9360"/>
        </w:tabs>
        <w:spacing w:after="0" w:line="240" w:lineRule="auto"/>
      </w:pPr>
    </w:p>
    <w:p w:rsidR="00310398" w:rsidRDefault="00310398" w:rsidP="00310398">
      <w:pPr>
        <w:autoSpaceDE w:val="0"/>
        <w:autoSpaceDN w:val="0"/>
        <w:adjustRightInd w:val="0"/>
        <w:spacing w:after="0" w:line="240" w:lineRule="auto"/>
        <w:rPr>
          <w:rFonts w:ascii="NeoSans-Bold" w:hAnsi="NeoSans-Bold" w:cs="NeoSans-Bold"/>
          <w:b/>
          <w:bCs/>
          <w:sz w:val="21"/>
          <w:szCs w:val="21"/>
        </w:rPr>
      </w:pPr>
    </w:p>
    <w:p w:rsidR="00D05952" w:rsidRDefault="00D05952"/>
    <w:sectPr w:rsidR="00D05952" w:rsidSect="00D0595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NeoSans-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76DEE"/>
    <w:multiLevelType w:val="hybridMultilevel"/>
    <w:tmpl w:val="6E5C1EC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AE96733"/>
    <w:multiLevelType w:val="hybridMultilevel"/>
    <w:tmpl w:val="C3A884EA"/>
    <w:lvl w:ilvl="0" w:tplc="10090001">
      <w:start w:val="1"/>
      <w:numFmt w:val="bullet"/>
      <w:lvlText w:val=""/>
      <w:lvlJc w:val="left"/>
      <w:pPr>
        <w:ind w:left="1080" w:hanging="360"/>
      </w:pPr>
      <w:rPr>
        <w:rFonts w:ascii="Symbol" w:hAnsi="Symbol" w:hint="default"/>
        <w:i/>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nsid w:val="30CD52EE"/>
    <w:multiLevelType w:val="hybridMultilevel"/>
    <w:tmpl w:val="953A5522"/>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50284D97"/>
    <w:multiLevelType w:val="hybridMultilevel"/>
    <w:tmpl w:val="CFC668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8CF618B"/>
    <w:multiLevelType w:val="hybridMultilevel"/>
    <w:tmpl w:val="FFCCDC8C"/>
    <w:lvl w:ilvl="0" w:tplc="85385846">
      <w:numFmt w:val="bullet"/>
      <w:lvlText w:val="-"/>
      <w:lvlJc w:val="left"/>
      <w:pPr>
        <w:ind w:left="720" w:hanging="360"/>
      </w:pPr>
      <w:rPr>
        <w:rFonts w:ascii="Calibri" w:eastAsia="Calibri" w:hAnsi="Calibri" w:cs="Calibri" w:hint="default"/>
        <w:sz w:val="20"/>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7B682488"/>
    <w:multiLevelType w:val="hybridMultilevel"/>
    <w:tmpl w:val="46661BF4"/>
    <w:lvl w:ilvl="0" w:tplc="10090003">
      <w:start w:val="1"/>
      <w:numFmt w:val="bullet"/>
      <w:lvlText w:val="o"/>
      <w:lvlJc w:val="left"/>
      <w:pPr>
        <w:ind w:left="720" w:hanging="360"/>
      </w:pPr>
      <w:rPr>
        <w:rFonts w:ascii="Courier New" w:hAnsi="Courier New" w:cs="Courier New" w:hint="default"/>
        <w:sz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0398"/>
    <w:rsid w:val="000227B0"/>
    <w:rsid w:val="00260792"/>
    <w:rsid w:val="00310398"/>
    <w:rsid w:val="005E6CB5"/>
    <w:rsid w:val="0067307B"/>
    <w:rsid w:val="007744C4"/>
    <w:rsid w:val="00986B75"/>
    <w:rsid w:val="00B33DD0"/>
    <w:rsid w:val="00C4058E"/>
    <w:rsid w:val="00D05952"/>
    <w:rsid w:val="00D946E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3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0398"/>
    <w:pPr>
      <w:ind w:left="720"/>
      <w:contextualSpacing/>
    </w:pPr>
    <w:rPr>
      <w:rFonts w:ascii="Calibri" w:eastAsia="Calibri" w:hAnsi="Calibri" w:cs="Times New Roman"/>
    </w:rPr>
  </w:style>
  <w:style w:type="paragraph" w:styleId="NoSpacing">
    <w:name w:val="No Spacing"/>
    <w:uiPriority w:val="1"/>
    <w:qFormat/>
    <w:rsid w:val="00310398"/>
    <w:pPr>
      <w:spacing w:after="0" w:line="240" w:lineRule="auto"/>
    </w:pPr>
  </w:style>
  <w:style w:type="character" w:styleId="Hyperlink">
    <w:name w:val="Hyperlink"/>
    <w:basedOn w:val="DefaultParagraphFont"/>
    <w:uiPriority w:val="99"/>
    <w:unhideWhenUsed/>
    <w:rsid w:val="0026079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SuoN0hQPeM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m55kgyApYrY" TargetMode="External"/><Relationship Id="rId12" Type="http://schemas.openxmlformats.org/officeDocument/2006/relationships/hyperlink" Target="http://www.nrc-cnrc.gc.ca/eng/education/biology/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2KlAf936E90" TargetMode="External"/><Relationship Id="rId11" Type="http://schemas.openxmlformats.org/officeDocument/2006/relationships/hyperlink" Target="http://www.chem.ox.ac.uk/vrchemistry/livechem/transitionmetals_content.html" TargetMode="External"/><Relationship Id="rId5" Type="http://schemas.openxmlformats.org/officeDocument/2006/relationships/hyperlink" Target="http://www.youtube.com/watch?v=Mx5JJWI2aaw" TargetMode="External"/><Relationship Id="rId10" Type="http://schemas.openxmlformats.org/officeDocument/2006/relationships/hyperlink" Target="http://householdproducts.nlm.nih.gov/index.htm" TargetMode="External"/><Relationship Id="rId4" Type="http://schemas.openxmlformats.org/officeDocument/2006/relationships/webSettings" Target="webSettings.xml"/><Relationship Id="rId9" Type="http://schemas.openxmlformats.org/officeDocument/2006/relationships/hyperlink" Target="http://www.keepvi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1162</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Ho</dc:creator>
  <cp:lastModifiedBy>Karen Ho</cp:lastModifiedBy>
  <cp:revision>5</cp:revision>
  <dcterms:created xsi:type="dcterms:W3CDTF">2011-02-26T06:33:00Z</dcterms:created>
  <dcterms:modified xsi:type="dcterms:W3CDTF">2011-02-26T07:01:00Z</dcterms:modified>
</cp:coreProperties>
</file>